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mbria" w:cs="Cambria" w:eastAsia="Cambria" w:hAnsi="Cambria"/>
          <w:color w:val="526059"/>
          <w:sz w:val="20"/>
          <w:szCs w:val="20"/>
        </w:rPr>
        <w:t xml:space="preserve">MK-D04 — Studi Kasus dan Mini-Riset Kedokteran Haji untuk Dokter Muda (Capstone)</w:t>
      </w:r>
    </w:p>
    <w:p>
      <w:pPr>
        <w:spacing w:after="300"/>
      </w:pPr>
      <w:r>
        <w:rPr>
          <w:rFonts w:ascii="Cambria" w:cs="Cambria" w:eastAsia="Cambria" w:hAnsi="Cambria"/>
          <w:b/>
          <w:bCs/>
          <w:color w:val="123D33"/>
          <w:sz w:val="40"/>
          <w:szCs w:val="40"/>
        </w:rPr>
        <w:t xml:space="preserve">Modul 3: Teknik Penulisan Laporan Kasus Ilmiah Singkat</w:t>
      </w:r>
    </w:p>
    <w:p>
      <w:pPr>
        <w:pBdr>
          <w:bottom w:val="single" w:color="B6862C" w:sz="18" w:space="1"/>
        </w:pBdr>
        <w:spacing w:after="300"/>
      </w:pPr>
      <w:r>
        <w:rPr>
          <w:sz w:val="2"/>
          <w:szCs w:val="2"/>
        </w:rPr>
        <w:t xml:space="preserve"/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A. Tujuan Pembelajaran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1. Pengetahuan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Menjelaskan kriteria pemilihan kasus yang layak dilaporkan dan struktur standar laporan kasus ilmiah singkat.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Menguraikan aspek etika penyamaran identitas pasien dan elemen kedalaman diskusi yang membedakan laporan kasus bermutu.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Menjelaskan prinsip gaya penulisan ringkas dan proses revisi bertahap.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2. Sikap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Menjunjung tinggi kerahasiaan identitas pasien dalam setiap tahap penulisan laporan kasus.</w:t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3. Psikomotor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Menyusun kerangka laporan kasus (abstrak, pendahuluan, presentasi kasus, diskusi, kesimpulan) dari satu kasus klinis nyata.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Mempraktikkan proses revisi bertahap: alur informasi, struktur-logika, tata bahasa.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B. Deskripsi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Modul ini membahas teknik penulisan laporan kasus ilmiah singkat (case report) secara lebih teknis, mengingat pendekatan ini merupakan salah satu format capstone yang paling sering dipilih mahasiswa Jalur D karena kesesuaiannya dengan paparan klinis langsung yang dialami selama rotasi.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C. Materi Inti</w:t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1. Pemilihan Kasus dan Struktur Laporan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Kasus yang baik umumnya memiliki salah satu karakteristik: presentasi klinis tidak lazim dalam konteks Kedokteran Haji; kombinasi kondisi menarik dari perspektif pengambilan keputusan klinis (misalnya dilema kepatuhan terapi vs keterbatasan sumber daya lapangan); atau kasus yang menggambarkan penerapan prinsip Jalur D secara konkret.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Abstrak singkat.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Pendahuluan — mengapa kasus ini penting dilaporkan.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Presentasi kasus — kronologi klinis sistematis.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Diskusi — menghubungkan kasus dengan literatur dan prinsip relevan.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Kesimpulan — merangkum pembelajaran utama.</w:t>
      </w:r>
    </w:p>
    <w:tbl>
      <w:tblPr>
        <w:tblW w:type="pct" w:w="100%"/>
        <w:tblBorders>
          <w:top w:val="single" w:color="B6862C" w:sz="6"/>
          <w:left w:val="single" w:color="B6862C" w:sz="6"/>
          <w:bottom w:val="single" w:color="B6862C" w:sz="6"/>
          <w:right w:val="single" w:color="B6862C" w:sz="6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FBF3E1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b/>
                <w:bCs/>
                <w:color w:val="17251F"/>
                <w:sz w:val="21"/>
                <w:szCs w:val="21"/>
              </w:rPr>
              <w:t xml:space="preserve">Ciri khas laporan kasus Jalur D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7251F"/>
                <w:sz w:val="21"/>
                <w:szCs w:val="21"/>
              </w:rPr>
              <w:t xml:space="preserve">Berbeda dari laporan kasus konvensional, laporan kasus Jalur D idealnya menonjolkan dimensi integratif — bagaimana kasus menggambarkan interaksi antara kondisi klinis dengan konteks khusus haji.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2. Etika Penyamaran Identitas dan Kedalaman Diskusi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Seluruh detail yang dapat mengidentifikasi pasien secara spesifik — nama, tanggal lahir persis, alamat — harus dihilangkan atau disamarkan, sambil mempertahankan informasi klinis yang relevan. Sebagian institusi memerlukan persetujuan tertulis pasien/keluarga, terutama bila akan dipublikasikan.</w:t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Bagian diskusi paling menuntut kedalaman analisis. Hindari diskusi yang hanya mengulang kronologi tanpa analisis tambahan; eksplorasi pertanyaan seperti: apa yang membuat kasus ini berbeda dari presentasi klinis serupa pada konteks non-haji? Bagaimana keterbatasan sumber daya lapangan memengaruhi pengambilan keputusan klinis?</w:t>
      </w:r>
    </w:p>
    <w:p>
      <w:pPr>
        <w:pStyle w:val="Heading3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3. Gaya Penulisan, Elemen Visual, dan Proses Revisi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8F2E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3D33"/>
                <w:sz w:val="20"/>
                <w:szCs w:val="20"/>
              </w:rPr>
              <w:t xml:space="preserve">Putaran Revisi</w:t>
            </w:r>
          </w:p>
        </w:tc>
        <w:tc>
          <w:tcPr>
            <w:tcW w:type="dxa" w:w="4680"/>
            <w:shd w:fill="E8F2E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23D33"/>
                <w:sz w:val="20"/>
                <w:szCs w:val="20"/>
              </w:rPr>
              <w:t xml:space="preserve">Fokus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Draf pertama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Mengalirkan seluruh informasi tanpa terlalu khawatir kesempurnaan kalimat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Putaran kedua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Kejelasan struktur dan logika argumen</w:t>
            </w:r>
          </w:p>
        </w:tc>
      </w:tr>
      <w:tr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Putaran terakhir</w:t>
            </w:r>
          </w:p>
        </w:tc>
        <w:tc>
          <w:tcPr>
            <w:tcW w:type="dxa" w:w="4680"/>
            <w:tcBorders>
              <w:top w:val="single" w:color="E1E9E5" w:sz="2"/>
              <w:left w:val="single" w:color="E1E9E5" w:sz="2"/>
              <w:bottom w:val="single" w:color="E1E9E5" w:sz="2"/>
              <w:right w:val="single" w:color="E1E9E5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7251F"/>
                <w:sz w:val="20"/>
                <w:szCs w:val="20"/>
              </w:rPr>
              <w:t xml:space="preserve">Ketepatan tata bahasa dan kepatuhan format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Penulisan ringkas dan padat menjadi ciri khas laporan kasus — hindari pengulangan informasi, pilih detail klinis yang benar-benar relevan. Tabel/gambar pendukung seperti timeline perjalanan klinis pasien dapat memperkuat kejelasan tanpa memperpanjang teks berlebihan.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D. Ilustrasi Kasus (Vignette)</w:t>
      </w:r>
    </w:p>
    <w:tbl>
      <w:tblPr>
        <w:tblW w:type="pct" w:w="100%"/>
        <w:tblBorders>
          <w:top w:val="single" w:color="5A5FA8" w:sz="6"/>
          <w:left w:val="single" w:color="5A5FA8" w:sz="6"/>
          <w:bottom w:val="single" w:color="5A5FA8" w:sz="6"/>
          <w:right w:val="single" w:color="5A5FA8" w:sz="6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E8F2EE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line="280"/>
            </w:pPr>
            <w:r>
              <w:rPr>
                <w:rFonts w:ascii="Calibri" w:cs="Calibri" w:eastAsia="Calibri" w:hAnsi="Calibri"/>
                <w:b/>
                <w:bCs/>
                <w:color w:val="17251F"/>
                <w:sz w:val="21"/>
                <w:szCs w:val="21"/>
              </w:rPr>
              <w:t xml:space="preserve">Vignette: Dilema Kebugaran Pra-Keberangkatan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b w:val="false"/>
                <w:bCs w:val="false"/>
                <w:color w:val="17251F"/>
                <w:sz w:val="21"/>
                <w:szCs w:val="21"/>
              </w:rPr>
              <w:t xml:space="preserve">Seorang mahasiswa menjumpai pasien lanjut usia dengan gagal jantung terkompensasi yang mengalami perburukan setelah kelelahan fisik berlebih. Ia menyadari kasus ini layak dilaporkan bukan karena diagnosisnya luar biasa — gagal jantung dekompensasi cukup umum di bangsal Interna — melainkan karena konteksnya: pasien tersebut adalah calon jemaah haji yang sedang menjalani latihan fisik persiapan keberangkatan, sehingga kasus ini menggambarkan dilema nyata antara mendorong kebugaran pra-keberangkatan dan risiko memaksakan aktivitas fisik berlebih pada jantung yang rapuh.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/>
      </w:r>
    </w:p>
    <w:p>
      <w:pPr>
        <w:pStyle w:val="Heading4"/>
        <w:spacing w:after="120" w:before="260"/>
      </w:pPr>
      <w:r>
        <w:rPr>
          <w:rFonts w:ascii="Cambria" w:cs="Cambria" w:eastAsia="Cambria" w:hAnsi="Cambria"/>
          <w:b/>
          <w:bCs/>
          <w:color w:val="123D33"/>
          <w:sz w:val="24"/>
          <w:szCs w:val="24"/>
        </w:rPr>
        <w:t xml:space="preserve">Pertanyaan Reflektif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Susun kerangka lima bagian laporan kasus untuk kasus dalam vignette ini.</w:t>
      </w:r>
    </w:p>
    <w:p>
      <w:pPr>
        <w:pStyle w:val="ListParagraph"/>
        <w:numPr>
          <w:ilvl w:val="0"/>
          <w:numId w:val="2"/>
        </w:numPr>
        <w:spacing w:after="100" w:line="280"/>
      </w:pPr>
      <w:r>
        <w:rPr>
          <w:rFonts w:ascii="Calibri" w:cs="Calibri" w:eastAsia="Calibri" w:hAnsi="Calibri"/>
          <w:color w:val="17251F"/>
          <w:sz w:val="22"/>
          <w:szCs w:val="22"/>
        </w:rPr>
        <w:t xml:space="preserve">Pertanyaan diskusi apa yang akan Anda eksplorasi untuk menunjukkan dimensi integratif kasus ini dengan konteks haji?</w:t>
      </w:r>
    </w:p>
    <w:p>
      <w:pPr>
        <w:pBdr>
          <w:bottom w:val="single" w:color="1F6F5C" w:sz="8" w:space="4"/>
        </w:pBdr>
        <w:spacing w:after="200" w:before="380"/>
      </w:pPr>
      <w:r>
        <w:rPr>
          <w:rFonts w:ascii="Cambria" w:cs="Cambria" w:eastAsia="Cambria" w:hAnsi="Cambria"/>
          <w:b/>
          <w:bCs/>
          <w:color w:val="1F6F5C"/>
          <w:sz w:val="27"/>
          <w:szCs w:val="27"/>
        </w:rPr>
        <w:t xml:space="preserve">E. Referensi</w:t>
      </w:r>
    </w:p>
    <w:p>
      <w:pPr>
        <w:spacing w:after="140" w:line="280"/>
        <w:ind w:left="431" w:hanging="431"/>
      </w:pPr>
      <w:r>
        <w:rPr>
          <w:rFonts w:ascii="Calibri" w:cs="Calibri" w:eastAsia="Calibri" w:hAnsi="Calibri"/>
          <w:color w:val="17251F"/>
          <w:sz w:val="20"/>
          <w:szCs w:val="20"/>
        </w:rPr>
        <w:t xml:space="preserve">1. Perpustakaan Digital ABBA. Buku D4 — Studi Kasus dan Mini-Riset Kedokteran Haji, Bab 3. [Sumber internal ekosistem].</w:t>
      </w:r>
    </w:p>
    <w:p>
      <w:pPr>
        <w:spacing w:after="140" w:line="280"/>
        <w:ind w:left="431" w:hanging="431"/>
      </w:pPr>
      <w:r>
        <w:rPr>
          <w:rFonts w:ascii="Calibri" w:cs="Calibri" w:eastAsia="Calibri" w:hAnsi="Calibri"/>
          <w:color w:val="17251F"/>
          <w:sz w:val="20"/>
          <w:szCs w:val="20"/>
        </w:rPr>
        <w:t xml:space="preserve">2. Gagnier JJ, Kienle G, Altman DG, Moher D, Sox H, Riley D; CARE Group. The CARE guidelines: consensus-based clinical case reporting guideline development. J Med Case Rep. 2013;7:223.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260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9E5" w:sz="4" w:space="4"/>
      </w:pBdr>
      <w:jc w:val="right"/>
    </w:pPr>
    <w:r>
      <w:rPr>
        <w:rFonts w:ascii="Calibri" w:cs="Calibri" w:eastAsia="Calibri" w:hAnsi="Calibri"/>
        <w:i/>
        <w:iCs/>
        <w:color w:val="526059"/>
        <w:sz w:val="16"/>
        <w:szCs w:val="16"/>
      </w:rPr>
      <w:t xml:space="preserve">Ekosistem Pendidikan Kedokteran Haji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25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2026-07-15T19:30:13.572Z</dcterms:created>
  <dcterms:modified xsi:type="dcterms:W3CDTF">2026-07-15T19:30:13.572Z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