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mbria" w:cs="Cambria" w:eastAsia="Cambria" w:hAnsi="Cambria"/>
          <w:color w:val="526059"/>
          <w:sz w:val="20"/>
          <w:szCs w:val="20"/>
        </w:rPr>
        <w:t xml:space="preserve">MK-D03 — Kedokteran Haji Terintegrasi Rotasi Klinis</w:t>
      </w:r>
    </w:p>
    <w:p>
      <w:pPr>
        <w:spacing w:after="300"/>
      </w:pPr>
      <w:r>
        <w:rPr>
          <w:rFonts w:ascii="Cambria" w:cs="Cambria" w:eastAsia="Cambria" w:hAnsi="Cambria"/>
          <w:b/>
          <w:bCs/>
          <w:color w:val="123D33"/>
          <w:sz w:val="40"/>
          <w:szCs w:val="40"/>
        </w:rPr>
        <w:t xml:space="preserve">Modul 5: Portofolio Pembelajaran Terintegrasi Sepanjang Masa Coass</w:t>
      </w:r>
    </w:p>
    <w:p>
      <w:pPr>
        <w:pBdr>
          <w:bottom w:val="single" w:color="B6862C" w:sz="18" w:space="1"/>
        </w:pBdr>
        <w:spacing w:after="300"/>
      </w:pPr>
      <w:r>
        <w:rPr>
          <w:sz w:val="2"/>
          <w:szCs w:val="2"/>
        </w:rPr>
        <w:t xml:space="preserve"/>
      </w:r>
    </w:p>
    <w:p>
      <w:pPr>
        <w:pBdr>
          <w:bottom w:val="single" w:color="1F6F5C" w:sz="8" w:space="4"/>
        </w:pBdr>
        <w:spacing w:after="200" w:before="380"/>
      </w:pPr>
      <w:r>
        <w:rPr>
          <w:rFonts w:ascii="Cambria" w:cs="Cambria" w:eastAsia="Cambria" w:hAnsi="Cambria"/>
          <w:b/>
          <w:bCs/>
          <w:color w:val="1F6F5C"/>
          <w:sz w:val="27"/>
          <w:szCs w:val="27"/>
        </w:rPr>
        <w:t xml:space="preserve">A. Tujuan Pembelajaran</w:t>
      </w:r>
    </w:p>
    <w:p>
      <w:pPr>
        <w:pStyle w:val="Heading4"/>
        <w:spacing w:after="120" w:before="260"/>
      </w:pPr>
      <w:r>
        <w:rPr>
          <w:rFonts w:ascii="Cambria" w:cs="Cambria" w:eastAsia="Cambria" w:hAnsi="Cambria"/>
          <w:b/>
          <w:bCs/>
          <w:color w:val="123D33"/>
          <w:sz w:val="24"/>
          <w:szCs w:val="24"/>
        </w:rPr>
        <w:t xml:space="preserve">1. Pengetahuan</w:t>
      </w:r>
    </w:p>
    <w:p>
      <w:pPr>
        <w:pStyle w:val="ListParagraph"/>
        <w:numPr>
          <w:ilvl w:val="0"/>
          <w:numId w:val="2"/>
        </w:numPr>
        <w:spacing w:after="100" w:line="280"/>
      </w:pPr>
      <w:r>
        <w:rPr>
          <w:rFonts w:ascii="Calibri" w:cs="Calibri" w:eastAsia="Calibri" w:hAnsi="Calibri"/>
          <w:color w:val="17251F"/>
          <w:sz w:val="22"/>
          <w:szCs w:val="22"/>
        </w:rPr>
        <w:t xml:space="preserve">Menjelaskan tujuan dan struktur empat komponen portofolio pembelajaran terintegrasi.</w:t>
      </w:r>
    </w:p>
    <w:p>
      <w:pPr>
        <w:pStyle w:val="ListParagraph"/>
        <w:numPr>
          <w:ilvl w:val="0"/>
          <w:numId w:val="2"/>
        </w:numPr>
        <w:spacing w:after="100" w:line="280"/>
      </w:pPr>
      <w:r>
        <w:rPr>
          <w:rFonts w:ascii="Calibri" w:cs="Calibri" w:eastAsia="Calibri" w:hAnsi="Calibri"/>
          <w:color w:val="17251F"/>
          <w:sz w:val="22"/>
          <w:szCs w:val="22"/>
        </w:rPr>
        <w:t xml:space="preserve">Menguraikan format, kriteria penilaian, dan keterkaitan portofolio dengan penyusunan capstone MK-D04.</w:t>
      </w:r>
    </w:p>
    <w:p>
      <w:pPr>
        <w:pStyle w:val="ListParagraph"/>
        <w:numPr>
          <w:ilvl w:val="0"/>
          <w:numId w:val="2"/>
        </w:numPr>
        <w:spacing w:after="100" w:line="280"/>
      </w:pPr>
      <w:r>
        <w:rPr>
          <w:rFonts w:ascii="Calibri" w:cs="Calibri" w:eastAsia="Calibri" w:hAnsi="Calibri"/>
          <w:color w:val="17251F"/>
          <w:sz w:val="22"/>
          <w:szCs w:val="22"/>
        </w:rPr>
        <w:t xml:space="preserve">Menjelaskan pentingnya jadwal penyusunan berkelanjutan dan peran pembimbing akademik.</w:t>
      </w:r>
    </w:p>
    <w:p>
      <w:pPr>
        <w:pStyle w:val="Heading4"/>
        <w:spacing w:after="120" w:before="260"/>
      </w:pPr>
      <w:r>
        <w:rPr>
          <w:rFonts w:ascii="Cambria" w:cs="Cambria" w:eastAsia="Cambria" w:hAnsi="Cambria"/>
          <w:b/>
          <w:bCs/>
          <w:color w:val="123D33"/>
          <w:sz w:val="24"/>
          <w:szCs w:val="24"/>
        </w:rPr>
        <w:t xml:space="preserve">2. Sikap</w:t>
      </w:r>
    </w:p>
    <w:p>
      <w:pPr>
        <w:pStyle w:val="ListParagraph"/>
        <w:numPr>
          <w:ilvl w:val="0"/>
          <w:numId w:val="2"/>
        </w:numPr>
        <w:spacing w:after="100" w:line="280"/>
      </w:pPr>
      <w:r>
        <w:rPr>
          <w:rFonts w:ascii="Calibri" w:cs="Calibri" w:eastAsia="Calibri" w:hAnsi="Calibri"/>
          <w:color w:val="17251F"/>
          <w:sz w:val="22"/>
          <w:szCs w:val="22"/>
        </w:rPr>
        <w:t xml:space="preserve">Menghargai kebiasaan reflektif konsisten sebagai fondasi menjadi lifelong learner dalam praktik klinis.</w:t>
      </w:r>
    </w:p>
    <w:p>
      <w:pPr>
        <w:pStyle w:val="ListParagraph"/>
        <w:numPr>
          <w:ilvl w:val="0"/>
          <w:numId w:val="2"/>
        </w:numPr>
        <w:spacing w:after="100" w:line="280"/>
      </w:pPr>
      <w:r>
        <w:rPr>
          <w:rFonts w:ascii="Calibri" w:cs="Calibri" w:eastAsia="Calibri" w:hAnsi="Calibri"/>
          <w:color w:val="17251F"/>
          <w:sz w:val="22"/>
          <w:szCs w:val="22"/>
        </w:rPr>
        <w:t xml:space="preserve">Menunjukkan konsistensi dalam mendokumentasikan pembelajaran meski di tengah jadwal rotasi yang padat.</w:t>
      </w:r>
    </w:p>
    <w:p>
      <w:pPr>
        <w:pStyle w:val="Heading4"/>
        <w:spacing w:after="120" w:before="260"/>
      </w:pPr>
      <w:r>
        <w:rPr>
          <w:rFonts w:ascii="Cambria" w:cs="Cambria" w:eastAsia="Cambria" w:hAnsi="Cambria"/>
          <w:b/>
          <w:bCs/>
          <w:color w:val="123D33"/>
          <w:sz w:val="24"/>
          <w:szCs w:val="24"/>
        </w:rPr>
        <w:t xml:space="preserve">3. Psikomotor</w:t>
      </w:r>
    </w:p>
    <w:p>
      <w:pPr>
        <w:pStyle w:val="ListParagraph"/>
        <w:numPr>
          <w:ilvl w:val="0"/>
          <w:numId w:val="2"/>
        </w:numPr>
        <w:spacing w:after="100" w:line="280"/>
      </w:pPr>
      <w:r>
        <w:rPr>
          <w:rFonts w:ascii="Calibri" w:cs="Calibri" w:eastAsia="Calibri" w:hAnsi="Calibri"/>
          <w:color w:val="17251F"/>
          <w:sz w:val="22"/>
          <w:szCs w:val="22"/>
        </w:rPr>
        <w:t xml:space="preserve">Menyusun kerangka portofolio pribadi berdasarkan empat komponen yang dianjurkan.</w:t>
      </w:r>
    </w:p>
    <w:p>
      <w:pPr>
        <w:pStyle w:val="ListParagraph"/>
        <w:numPr>
          <w:ilvl w:val="0"/>
          <w:numId w:val="2"/>
        </w:numPr>
        <w:spacing w:after="100" w:line="280"/>
      </w:pPr>
      <w:r>
        <w:rPr>
          <w:rFonts w:ascii="Calibri" w:cs="Calibri" w:eastAsia="Calibri" w:hAnsi="Calibri"/>
          <w:color w:val="17251F"/>
          <w:sz w:val="22"/>
          <w:szCs w:val="22"/>
        </w:rPr>
        <w:t xml:space="preserve">Mendemonstrasikan kebiasaan mengalokasikan waktu singkat mingguan untuk memperbarui portofolio.</w:t>
      </w:r>
    </w:p>
    <w:p>
      <w:pPr>
        <w:pBdr>
          <w:bottom w:val="single" w:color="1F6F5C" w:sz="8" w:space="4"/>
        </w:pBdr>
        <w:spacing w:after="200" w:before="380"/>
      </w:pPr>
      <w:r>
        <w:rPr>
          <w:rFonts w:ascii="Cambria" w:cs="Cambria" w:eastAsia="Cambria" w:hAnsi="Cambria"/>
          <w:b/>
          <w:bCs/>
          <w:color w:val="1F6F5C"/>
          <w:sz w:val="27"/>
          <w:szCs w:val="27"/>
        </w:rPr>
        <w:t xml:space="preserve">B. Deskripsi</w:t>
      </w:r>
    </w:p>
    <w:p>
      <w:pPr>
        <w:spacing w:after="160" w:line="300"/>
      </w:pPr>
      <w:r>
        <w:rPr>
          <w:rFonts w:ascii="Calibri" w:cs="Calibri" w:eastAsia="Calibri" w:hAnsi="Calibri"/>
          <w:color w:val="17251F"/>
          <w:sz w:val="22"/>
          <w:szCs w:val="22"/>
        </w:rPr>
        <w:t xml:space="preserve">Bab penutup buku D3 ini memberikan panduan praktis penyusunan portofolio pembelajaran terintegrasi — dokumen reflektif yang mengumpulkan seluruh catatan pembelajaran, log kasus, dan refleksi yang telah disusun sepanjang menjalani empat stase pada Modul 1–4, sekaligus menjadi jembatan penting menuju penyusunan capstone mini-riset pada MK-D04.</w:t>
      </w:r>
    </w:p>
    <w:p>
      <w:pPr>
        <w:pBdr>
          <w:bottom w:val="single" w:color="1F6F5C" w:sz="8" w:space="4"/>
        </w:pBdr>
        <w:spacing w:after="200" w:before="380"/>
      </w:pPr>
      <w:r>
        <w:rPr>
          <w:rFonts w:ascii="Cambria" w:cs="Cambria" w:eastAsia="Cambria" w:hAnsi="Cambria"/>
          <w:b/>
          <w:bCs/>
          <w:color w:val="1F6F5C"/>
          <w:sz w:val="27"/>
          <w:szCs w:val="27"/>
        </w:rPr>
        <w:t xml:space="preserve">C. Materi Inti</w:t>
      </w:r>
    </w:p>
    <w:p>
      <w:pPr>
        <w:pStyle w:val="Heading3"/>
        <w:spacing w:after="120" w:before="260"/>
      </w:pPr>
      <w:r>
        <w:rPr>
          <w:rFonts w:ascii="Cambria" w:cs="Cambria" w:eastAsia="Cambria" w:hAnsi="Cambria"/>
          <w:b/>
          <w:bCs/>
          <w:color w:val="123D33"/>
          <w:sz w:val="24"/>
          <w:szCs w:val="24"/>
        </w:rPr>
        <w:t xml:space="preserve">1. Tujuan dan Struktur Portofolio</w:t>
      </w:r>
    </w:p>
    <w:p>
      <w:pPr>
        <w:spacing w:after="160" w:line="300"/>
      </w:pPr>
      <w:r>
        <w:rPr>
          <w:rFonts w:ascii="Calibri" w:cs="Calibri" w:eastAsia="Calibri" w:hAnsi="Calibri"/>
          <w:color w:val="17251F"/>
          <w:sz w:val="22"/>
          <w:szCs w:val="22"/>
        </w:rPr>
        <w:t xml:space="preserve">Tujuan utama portofolio adalah mendokumentasikan secara sistematis perjalanan pembelajaran mahasiswa dalam menghubungkan kompetensi klinis umum dengan substansi khusus Kedokteran Haji, sehingga tersedia bukti konkret, bukan sekadar mengandalkan ingatan yang mungkin sudah kabur.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F2EE" w:val="clear"/>
            <w:tcMar>
              <w:top w:type="dxa" w:w="100"/>
              <w:left w:type="dxa" w:w="120"/>
              <w:bottom w:type="dxa" w:w="100"/>
              <w:right w:type="dxa" w:w="120"/>
            </w:tcMar>
          </w:tcPr>
          <w:p>
            <w:r>
              <w:rPr>
                <w:rFonts w:ascii="Calibri" w:cs="Calibri" w:eastAsia="Calibri" w:hAnsi="Calibri"/>
                <w:b/>
                <w:bCs/>
                <w:color w:val="123D33"/>
                <w:sz w:val="20"/>
                <w:szCs w:val="20"/>
              </w:rPr>
              <w:t xml:space="preserve">Komponen Portofolio</w:t>
            </w:r>
          </w:p>
        </w:tc>
        <w:tc>
          <w:tcPr>
            <w:tcW w:type="dxa" w:w="4680"/>
            <w:shd w:fill="E8F2EE" w:val="clear"/>
            <w:tcMar>
              <w:top w:type="dxa" w:w="100"/>
              <w:left w:type="dxa" w:w="120"/>
              <w:bottom w:type="dxa" w:w="100"/>
              <w:right w:type="dxa" w:w="120"/>
            </w:tcMar>
          </w:tcPr>
          <w:p>
            <w:r>
              <w:rPr>
                <w:rFonts w:ascii="Calibri" w:cs="Calibri" w:eastAsia="Calibri" w:hAnsi="Calibri"/>
                <w:b/>
                <w:bCs/>
                <w:color w:val="123D33"/>
                <w:sz w:val="20"/>
                <w:szCs w:val="20"/>
              </w:rPr>
              <w:t xml:space="preserve">Sumber Modul</w:t>
            </w:r>
          </w:p>
        </w:tc>
      </w:tr>
      <w:tr>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Log pembelajaran mingguan stase Interna</w:t>
            </w:r>
          </w:p>
        </w:tc>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Modul 1</w:t>
            </w:r>
          </w:p>
        </w:tc>
      </w:tr>
      <w:tr>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Catatan simulasi dan diskusi kasus stase IGD</w:t>
            </w:r>
          </w:p>
        </w:tc>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Modul 2</w:t>
            </w:r>
          </w:p>
        </w:tc>
      </w:tr>
      <w:tr>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Ringkasan reflektif stase Kardiologi dan Paru</w:t>
            </w:r>
          </w:p>
        </w:tc>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Modul 3</w:t>
            </w:r>
          </w:p>
        </w:tc>
      </w:tr>
      <w:tr>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Dokumentasi promosi kesehatan/analisis epidemiologi stase IKM</w:t>
            </w:r>
          </w:p>
        </w:tc>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Modul 4</w:t>
            </w:r>
          </w:p>
        </w:tc>
      </w:tr>
      <w:tr>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Refleksi menyeluruh yang menyintesiskan keempat stase</w:t>
            </w:r>
          </w:p>
        </w:tc>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Sintesis pribadi</w:t>
            </w:r>
          </w:p>
        </w:tc>
      </w:tr>
    </w:tbl>
    <w:p>
      <w:pPr>
        <w:spacing w:after="200"/>
      </w:pPr>
      <w:r>
        <w:rPr>
          <w:rFonts w:ascii="Calibri" w:cs="Calibri" w:eastAsia="Calibri" w:hAnsi="Calibri"/>
          <w:color w:val="17251F"/>
          <w:sz w:val="22"/>
          <w:szCs w:val="22"/>
        </w:rPr>
        <w:t xml:space="preserve"/>
      </w:r>
    </w:p>
    <w:tbl>
      <w:tblPr>
        <w:tblW w:type="pct" w:w="100%"/>
        <w:tblBorders>
          <w:top w:val="single" w:color="B6862C" w:sz="6"/>
          <w:left w:val="single" w:color="B6862C" w:sz="6"/>
          <w:bottom w:val="single" w:color="B6862C" w:sz="6"/>
          <w:right w:val="single" w:color="B6862C" w:sz="6"/>
          <w:insideH w:val="none" w:color="FFFFFF" w:sz="0"/>
          <w:insideV w:val="none" w:color="FFFFFF" w:sz="0"/>
        </w:tblBorders>
      </w:tblPr>
      <w:tblGrid>
        <w:gridCol w:w="100"/>
      </w:tblGrid>
      <w:tr>
        <w:tc>
          <w:tcPr>
            <w:tcW w:type="pct" w:w="100%"/>
            <w:shd w:fill="FBF3E1" w:val="clear"/>
            <w:tcMar>
              <w:top w:type="dxa" w:w="160"/>
              <w:left w:type="dxa" w:w="220"/>
              <w:bottom w:type="dxa" w:w="160"/>
              <w:right w:type="dxa" w:w="220"/>
            </w:tcMar>
          </w:tcPr>
          <w:p>
            <w:pPr>
              <w:spacing w:after="80" w:line="280"/>
            </w:pPr>
            <w:r>
              <w:rPr>
                <w:rFonts w:ascii="Calibri" w:cs="Calibri" w:eastAsia="Calibri" w:hAnsi="Calibri"/>
                <w:b/>
                <w:bCs/>
                <w:color w:val="17251F"/>
                <w:sz w:val="21"/>
                <w:szCs w:val="21"/>
              </w:rPr>
              <w:t xml:space="preserve">Ilustrasi</w:t>
            </w:r>
          </w:p>
          <w:p>
            <w:pPr>
              <w:spacing w:after="0" w:line="280"/>
            </w:pPr>
            <w:r>
              <w:rPr>
                <w:rFonts w:ascii="Calibri" w:cs="Calibri" w:eastAsia="Calibri" w:hAnsi="Calibri"/>
                <w:b w:val="false"/>
                <w:bCs w:val="false"/>
                <w:color w:val="17251F"/>
                <w:sz w:val="21"/>
                <w:szCs w:val="21"/>
              </w:rPr>
              <w:t xml:space="preserve">Pada akhir masa coass, seorang mahasiswa membuka kembali portofolionya dan menemukan benang merah: hampir semua catatan reflektifnya berulang kali menyinggung tantangan komunikasi dengan pasien lanjut usia berliterasi rendah. Pola ini menjadi titik awal ia merumuskan topik capstone mengenai efektivitas materi edukasi bergambar.</w:t>
            </w:r>
          </w:p>
        </w:tc>
      </w:tr>
    </w:tbl>
    <w:p>
      <w:pPr>
        <w:spacing w:after="100"/>
      </w:pPr>
      <w:r>
        <w:rPr>
          <w:rFonts w:ascii="Calibri" w:cs="Calibri" w:eastAsia="Calibri" w:hAnsi="Calibri"/>
          <w:color w:val="17251F"/>
          <w:sz w:val="22"/>
          <w:szCs w:val="22"/>
        </w:rPr>
        <w:t xml:space="preserve"/>
      </w:r>
    </w:p>
    <w:p>
      <w:pPr>
        <w:pStyle w:val="Heading3"/>
        <w:spacing w:after="120" w:before="260"/>
      </w:pPr>
      <w:r>
        <w:rPr>
          <w:rFonts w:ascii="Cambria" w:cs="Cambria" w:eastAsia="Cambria" w:hAnsi="Cambria"/>
          <w:b/>
          <w:bCs/>
          <w:color w:val="123D33"/>
          <w:sz w:val="24"/>
          <w:szCs w:val="24"/>
        </w:rPr>
        <w:t xml:space="preserve">2. Format, Penilaian, dan Keterkaitan dengan Capstone</w:t>
      </w:r>
    </w:p>
    <w:p>
      <w:pPr>
        <w:spacing w:after="160" w:line="300"/>
      </w:pPr>
      <w:r>
        <w:rPr>
          <w:rFonts w:ascii="Calibri" w:cs="Calibri" w:eastAsia="Calibri" w:hAnsi="Calibri"/>
          <w:color w:val="17251F"/>
          <w:sz w:val="22"/>
          <w:szCs w:val="22"/>
        </w:rPr>
        <w:t xml:space="preserve">Format portofolio dapat disesuaikan preferensi institusi, umumnya berupa dokumen tertulis terstruktur dilengkapi bukti pendukung (catatan kasus, foto materi edukasi dengan menjaga kerahasiaan identitas pasien, umpan balik dosen pembimbing). Penilaian berfokus pada kedalaman refleksi dan kualitas penghubungan pengalaman klinis dengan substansi Kedokteran Haji, bukan semata kelengkapan dokumen. Portofolio menjadi fondasi penting bagi capstone mini-riset MK-D04: kasus menarik, kesenjangan pengetahuan, dan pertanyaan reflektif yang belum terjawab seringkali menjadi sumber inspirasi topik capstone yang bermakna secara personal.</w:t>
      </w:r>
    </w:p>
    <w:p>
      <w:pPr>
        <w:pStyle w:val="Heading3"/>
        <w:spacing w:after="120" w:before="260"/>
      </w:pPr>
      <w:r>
        <w:rPr>
          <w:rFonts w:ascii="Cambria" w:cs="Cambria" w:eastAsia="Cambria" w:hAnsi="Cambria"/>
          <w:b/>
          <w:bCs/>
          <w:color w:val="123D33"/>
          <w:sz w:val="24"/>
          <w:szCs w:val="24"/>
        </w:rPr>
        <w:t xml:space="preserve">3. Jadwal Penyusunan dan Peran Pembimbing</w:t>
      </w:r>
    </w:p>
    <w:p>
      <w:pPr>
        <w:spacing w:after="160" w:line="300"/>
      </w:pPr>
      <w:r>
        <w:rPr>
          <w:rFonts w:ascii="Calibri" w:cs="Calibri" w:eastAsia="Calibri" w:hAnsi="Calibri"/>
          <w:color w:val="17251F"/>
          <w:sz w:val="22"/>
          <w:szCs w:val="22"/>
        </w:rPr>
        <w:t xml:space="preserve">Penyusunan portofolio sebaiknya bersifat berkelanjutan, tidak ditunda hingga akhir program, mengingat penyusunan retrospektif berisiko kehilangan detail dan kedalaman refleksi. Alokasikan waktu singkat namun konsisten setiap akhir minggu stase. Peran dosen pembimbing akademik penting memberi umpan balik berkala dan membantu mengidentifikasi benang merah tema lintas stase sebagai bahan awal perumusan topik capstone.</w:t>
      </w:r>
    </w:p>
    <w:p>
      <w:pPr>
        <w:pBdr>
          <w:bottom w:val="single" w:color="1F6F5C" w:sz="8" w:space="4"/>
        </w:pBdr>
        <w:spacing w:after="200" w:before="380"/>
      </w:pPr>
      <w:r>
        <w:rPr>
          <w:rFonts w:ascii="Cambria" w:cs="Cambria" w:eastAsia="Cambria" w:hAnsi="Cambria"/>
          <w:b/>
          <w:bCs/>
          <w:color w:val="1F6F5C"/>
          <w:sz w:val="27"/>
          <w:szCs w:val="27"/>
        </w:rPr>
        <w:t xml:space="preserve">D. Ilustrasi Kasus (Vignette)</w:t>
      </w:r>
    </w:p>
    <w:tbl>
      <w:tblPr>
        <w:tblW w:type="pct" w:w="100%"/>
        <w:tblBorders>
          <w:top w:val="single" w:color="5A5FA8" w:sz="6"/>
          <w:left w:val="single" w:color="5A5FA8" w:sz="6"/>
          <w:bottom w:val="single" w:color="5A5FA8" w:sz="6"/>
          <w:right w:val="single" w:color="5A5FA8" w:sz="6"/>
          <w:insideH w:val="none" w:color="FFFFFF" w:sz="0"/>
          <w:insideV w:val="none" w:color="FFFFFF" w:sz="0"/>
        </w:tblBorders>
      </w:tblPr>
      <w:tblGrid>
        <w:gridCol w:w="100"/>
      </w:tblGrid>
      <w:tr>
        <w:tc>
          <w:tcPr>
            <w:tcW w:type="pct" w:w="100%"/>
            <w:shd w:fill="E8F2EE" w:val="clear"/>
            <w:tcMar>
              <w:top w:type="dxa" w:w="160"/>
              <w:left w:type="dxa" w:w="220"/>
              <w:bottom w:type="dxa" w:w="160"/>
              <w:right w:type="dxa" w:w="220"/>
            </w:tcMar>
          </w:tcPr>
          <w:p>
            <w:pPr>
              <w:spacing w:after="80" w:line="280"/>
            </w:pPr>
            <w:r>
              <w:rPr>
                <w:rFonts w:ascii="Calibri" w:cs="Calibri" w:eastAsia="Calibri" w:hAnsi="Calibri"/>
                <w:b/>
                <w:bCs/>
                <w:color w:val="17251F"/>
                <w:sz w:val="21"/>
                <w:szCs w:val="21"/>
              </w:rPr>
              <w:t xml:space="preserve">Vignette: Pelajaran dari Portofolio yang Tertunda</w:t>
            </w:r>
          </w:p>
          <w:p>
            <w:pPr>
              <w:spacing w:after="0" w:line="280"/>
            </w:pPr>
            <w:r>
              <w:rPr>
                <w:rFonts w:ascii="Calibri" w:cs="Calibri" w:eastAsia="Calibri" w:hAnsi="Calibri"/>
                <w:b w:val="false"/>
                <w:bCs w:val="false"/>
                <w:color w:val="17251F"/>
                <w:sz w:val="21"/>
                <w:szCs w:val="21"/>
              </w:rPr>
              <w:t xml:space="preserve">Seorang mahasiswa yang awalnya menunda-nunda pengisian portofolio hingga tiga stase berlalu tanpa catatan, akhirnya menyadari betapa banyak detail berharga yang sudah terlupakan — nama obat spesifik yang didiskusikan, pertanyaan reflektif yang muncul spontan saat visite. Pengalaman ini mendorongnya mulai mencicil satu paragraf singkat setiap Jumat sore.</w:t>
            </w:r>
          </w:p>
        </w:tc>
      </w:tr>
    </w:tbl>
    <w:p>
      <w:pPr>
        <w:spacing w:after="160"/>
      </w:pPr>
      <w:r>
        <w:rPr>
          <w:rFonts w:ascii="Calibri" w:cs="Calibri" w:eastAsia="Calibri" w:hAnsi="Calibri"/>
          <w:color w:val="17251F"/>
          <w:sz w:val="22"/>
          <w:szCs w:val="22"/>
        </w:rPr>
        <w:t xml:space="preserve"/>
      </w:r>
    </w:p>
    <w:p>
      <w:pPr>
        <w:pStyle w:val="Heading4"/>
        <w:spacing w:after="120" w:before="260"/>
      </w:pPr>
      <w:r>
        <w:rPr>
          <w:rFonts w:ascii="Cambria" w:cs="Cambria" w:eastAsia="Cambria" w:hAnsi="Cambria"/>
          <w:b/>
          <w:bCs/>
          <w:color w:val="123D33"/>
          <w:sz w:val="24"/>
          <w:szCs w:val="24"/>
        </w:rPr>
        <w:t xml:space="preserve">Pertanyaan Reflektif</w:t>
      </w:r>
    </w:p>
    <w:p>
      <w:pPr>
        <w:pStyle w:val="ListParagraph"/>
        <w:numPr>
          <w:ilvl w:val="0"/>
          <w:numId w:val="2"/>
        </w:numPr>
        <w:spacing w:after="100" w:line="280"/>
      </w:pPr>
      <w:r>
        <w:rPr>
          <w:rFonts w:ascii="Calibri" w:cs="Calibri" w:eastAsia="Calibri" w:hAnsi="Calibri"/>
          <w:color w:val="17251F"/>
          <w:sz w:val="22"/>
          <w:szCs w:val="22"/>
        </w:rPr>
        <w:t xml:space="preserve">Strategi apa yang akan Anda terapkan agar tidak mengalami situasi serupa dalam menyusun portofolio Anda sendiri?</w:t>
      </w:r>
    </w:p>
    <w:p>
      <w:pPr>
        <w:pStyle w:val="ListParagraph"/>
        <w:numPr>
          <w:ilvl w:val="0"/>
          <w:numId w:val="2"/>
        </w:numPr>
        <w:spacing w:after="100" w:line="280"/>
      </w:pPr>
      <w:r>
        <w:rPr>
          <w:rFonts w:ascii="Calibri" w:cs="Calibri" w:eastAsia="Calibri" w:hAnsi="Calibri"/>
          <w:color w:val="17251F"/>
          <w:sz w:val="22"/>
          <w:szCs w:val="22"/>
        </w:rPr>
        <w:t xml:space="preserve">Bagaimana kebiasaan reflektif ini bermanfaat bagi Anda sebagai dokter, jauh melampaui konteks kelulusan program Joint Degree?</w:t>
      </w:r>
    </w:p>
    <w:p>
      <w:pPr>
        <w:pBdr>
          <w:bottom w:val="single" w:color="1F6F5C" w:sz="8" w:space="4"/>
        </w:pBdr>
        <w:spacing w:after="200" w:before="380"/>
      </w:pPr>
      <w:r>
        <w:rPr>
          <w:rFonts w:ascii="Cambria" w:cs="Cambria" w:eastAsia="Cambria" w:hAnsi="Cambria"/>
          <w:b/>
          <w:bCs/>
          <w:color w:val="1F6F5C"/>
          <w:sz w:val="27"/>
          <w:szCs w:val="27"/>
        </w:rPr>
        <w:t xml:space="preserve">E. Referensi</w:t>
      </w:r>
    </w:p>
    <w:p>
      <w:pPr>
        <w:spacing w:after="140" w:line="280"/>
        <w:ind w:left="431" w:hanging="431"/>
      </w:pPr>
      <w:r>
        <w:rPr>
          <w:rFonts w:ascii="Calibri" w:cs="Calibri" w:eastAsia="Calibri" w:hAnsi="Calibri"/>
          <w:color w:val="17251F"/>
          <w:sz w:val="20"/>
          <w:szCs w:val="20"/>
        </w:rPr>
        <w:t xml:space="preserve">1. Perpustakaan Digital ABBA. Buku D3 — Kedokteran Haji Terintegrasi Rotasi Klinis, Bab 5. [Sumber internal ekosistem].</w:t>
      </w:r>
    </w:p>
    <w:p>
      <w:pPr>
        <w:spacing w:after="140" w:line="280"/>
        <w:ind w:left="431" w:hanging="431"/>
      </w:pPr>
      <w:r>
        <w:rPr>
          <w:rFonts w:ascii="Calibri" w:cs="Calibri" w:eastAsia="Calibri" w:hAnsi="Calibri"/>
          <w:color w:val="17251F"/>
          <w:sz w:val="20"/>
          <w:szCs w:val="20"/>
        </w:rPr>
        <w:t xml:space="preserve">2. Driessen E, van Tartwijk J, van der Vleuten C, Wass V. Portfolios in medical education: why do they meet with mixed success? A systematic review. Med Educ. 2007;41(12):1224-1233. Available from: https://doi.org/10.1111/j.1365-2923.2007.02944.x</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260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9E5" w:sz="4" w:space="4"/>
      </w:pBdr>
      <w:jc w:val="right"/>
    </w:pPr>
    <w:r>
      <w:rPr>
        <w:rFonts w:ascii="Calibri" w:cs="Calibri" w:eastAsia="Calibri" w:hAnsi="Calibri"/>
        <w:i/>
        <w:iCs/>
        <w:color w:val="526059"/>
        <w:sz w:val="16"/>
        <w:szCs w:val="16"/>
      </w:rPr>
      <w:t xml:space="preserve">Ekosistem Pendidikan Kedokteran Haji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7251F"/>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2026-07-15T19:31:28.102Z</dcterms:created>
  <dcterms:modified xsi:type="dcterms:W3CDTF">2026-07-15T19:31:28.102Z</dcterms:modified>
</cp:coreProperties>
</file>

<file path=docProps/custom.xml><?xml version="1.0" encoding="utf-8"?>
<Properties xmlns="http://schemas.openxmlformats.org/officeDocument/2006/custom-properties" xmlns:vt="http://schemas.openxmlformats.org/officeDocument/2006/docPropsVTypes"/>
</file>