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4: Integrasi dengan Stase Ilmu Kesehatan Masyarakat</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penerapan prinsip epidemiologi deskriptif-analitik dan perencanaan program pada konteks data kesehatan haji.</w:t>
      </w:r>
    </w:p>
    <w:p>
      <w:pPr>
        <w:pStyle w:val="ListParagraph"/>
        <w:numPr>
          <w:ilvl w:val="0"/>
          <w:numId w:val="2"/>
        </w:numPr>
        <w:spacing w:after="100" w:line="280"/>
      </w:pPr>
      <w:r>
        <w:rPr>
          <w:rFonts w:ascii="Calibri" w:cs="Calibri" w:eastAsia="Calibri" w:hAnsi="Calibri"/>
          <w:color w:val="17251F"/>
          <w:sz w:val="22"/>
          <w:szCs w:val="22"/>
        </w:rPr>
        <w:t xml:space="preserve">Menguraikan relevansi promosi kesehatan dan surveilans penyakit menular dengan edukasi calon jemaah dan mass gathering internasional.</w:t>
      </w:r>
    </w:p>
    <w:p>
      <w:pPr>
        <w:pStyle w:val="ListParagraph"/>
        <w:numPr>
          <w:ilvl w:val="0"/>
          <w:numId w:val="2"/>
        </w:numPr>
        <w:spacing w:after="100" w:line="280"/>
      </w:pPr>
      <w:r>
        <w:rPr>
          <w:rFonts w:ascii="Calibri" w:cs="Calibri" w:eastAsia="Calibri" w:hAnsi="Calibri"/>
          <w:color w:val="17251F"/>
          <w:sz w:val="22"/>
          <w:szCs w:val="22"/>
        </w:rPr>
        <w:t xml:space="preserve">Menjelaskan kegunaan metode penelitian kualitatif dalam menjawab pertanyaan Kedokteran Haji yang bersifat subjektif/budaya.</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Menghargai perspektif populasi dan sistem sebagai pelengkap kompetensi klinis individual yang dibangun pada stase lain.</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penyusunan analisis deskriptif sederhana bertema kesehatan haji sebagai bagian tugas stase IKM.</w:t>
      </w:r>
    </w:p>
    <w:p>
      <w:pPr>
        <w:pStyle w:val="ListParagraph"/>
        <w:numPr>
          <w:ilvl w:val="0"/>
          <w:numId w:val="2"/>
        </w:numPr>
        <w:spacing w:after="100" w:line="280"/>
      </w:pPr>
      <w:r>
        <w:rPr>
          <w:rFonts w:ascii="Calibri" w:cs="Calibri" w:eastAsia="Calibri" w:hAnsi="Calibri"/>
          <w:color w:val="17251F"/>
          <w:sz w:val="22"/>
          <w:szCs w:val="22"/>
        </w:rPr>
        <w:t xml:space="preserve">Menyusun materi edukasi kesehatan sederhana (poster/leaflet) bertema kesehatan haji.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Stase Ilmu Kesehatan Masyarakat menawarkan titik temu yang berbeda karakternya dibandingkan tiga stase klinis sebelumnya, karena fokusnya bergeser dari kompetensi klinis individual ke kompetensi kesehatan masyarakat dan epidemiologi pada level populasi. Modul ini membahas bagaimana kompetensi yang dibangun pada stase IKM dapat diintegrasikan dengan pemahaman epidemiologi dan kebijakan kesehatan haji.</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Epidemiologi dan Perencanaan Program Berbasis Data</w:t>
      </w:r>
    </w:p>
    <w:p>
      <w:pPr>
        <w:spacing w:after="160" w:line="300"/>
      </w:pPr>
      <w:r>
        <w:rPr>
          <w:rFonts w:ascii="Calibri" w:cs="Calibri" w:eastAsia="Calibri" w:hAnsi="Calibri"/>
          <w:color w:val="17251F"/>
          <w:sz w:val="22"/>
          <w:szCs w:val="22"/>
        </w:rPr>
        <w:t xml:space="preserve">Prinsip epidemiologi deskriptif dan analitik — ukuran frekuensi penyakit, ukuran asosiasi, desain studi dasar — menjadi kerangka metodologis langsung relevan untuk memahami data epidemiologi kesehatan haji. Gunakan tugas/proyek stase ini, bila memungkinkan, dengan tema kesehatan haji sebagai konteks aplikasi. Kompetensi perencanaan program relevan dengan penempatan pos kesehatan berdasarkan pola temporal dan spasial risiko.</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w:t>
            </w:r>
          </w:p>
          <w:p>
            <w:pPr>
              <w:spacing w:after="0" w:line="280"/>
            </w:pPr>
            <w:r>
              <w:rPr>
                <w:rFonts w:ascii="Calibri" w:cs="Calibri" w:eastAsia="Calibri" w:hAnsi="Calibri"/>
                <w:b w:val="false"/>
                <w:bCs w:val="false"/>
                <w:color w:val="17251F"/>
                <w:sz w:val="21"/>
                <w:szCs w:val="21"/>
              </w:rPr>
              <w:t xml:space="preserve">Seorang mahasiswa yang diberi tugas analisis deskriptif meminta izin menggunakan data kunjungan kesehatan calon jemaah di puskesmas tempatnya bertugas. Hasilnya bukan sekadar tugas kelulusan stase, tetapi juga cikal bakal data untuk capstone mini-riset pada MK-D04.</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Promosi Kesehatan dan Surveilans Penyakit Menular</w:t>
      </w:r>
    </w:p>
    <w:p>
      <w:pPr>
        <w:spacing w:after="160" w:line="300"/>
      </w:pPr>
      <w:r>
        <w:rPr>
          <w:rFonts w:ascii="Calibri" w:cs="Calibri" w:eastAsia="Calibri" w:hAnsi="Calibri"/>
          <w:color w:val="17251F"/>
          <w:sz w:val="22"/>
          <w:szCs w:val="22"/>
        </w:rPr>
        <w:t xml:space="preserve">Kompetensi promosi kesehatan dan komunikasi risiko relevan dengan kebutuhan edukasi calon jemaah mengenai tanda bahaya, pentingnya hidrasi, dan kepatuhan pengobatan. Kompetensi surveilans epidemiologi relevan dengan sistem surveilans kesehatan haji terkait kesiapsiagaan penyakit menular lintas negara — diskusikan bagaimana prinsip surveilans domestik dibandingkan tantangan surveilans pada mass gathering internasional.</w:t>
      </w:r>
    </w:p>
    <w:p>
      <w:pPr>
        <w:spacing w:after="160" w:line="300"/>
      </w:pPr>
      <w:r>
        <w:rPr>
          <w:rFonts w:ascii="Calibri" w:cs="Calibri" w:eastAsia="Calibri" w:hAnsi="Calibri"/>
          <w:color w:val="17251F"/>
          <w:sz w:val="22"/>
          <w:szCs w:val="22"/>
        </w:rPr>
        <w:t xml:space="preserve">Keterkaitan dengan rotasi klinis: eksplorasi kemungkinan kolaborasi dengan puskesmas tempat menjalani stase IKM untuk terlibat langsung dalam kegiatan pembinaan kesehatan calon jemaah haji di wilayah setempat.</w:t>
      </w:r>
    </w:p>
    <w:p>
      <w:pPr>
        <w:pStyle w:val="Heading3"/>
        <w:spacing w:after="120" w:before="260"/>
      </w:pPr>
      <w:r>
        <w:rPr>
          <w:rFonts w:ascii="Cambria" w:cs="Cambria" w:eastAsia="Cambria" w:hAnsi="Cambria"/>
          <w:b/>
          <w:bCs/>
          <w:color w:val="123D33"/>
          <w:sz w:val="24"/>
          <w:szCs w:val="24"/>
        </w:rPr>
        <w:t xml:space="preserve">3. Keterlibatan Lapangan dan Metode Kualitatif</w:t>
      </w:r>
    </w:p>
    <w:p>
      <w:pPr>
        <w:pStyle w:val="ListParagraph"/>
        <w:numPr>
          <w:ilvl w:val="0"/>
          <w:numId w:val="2"/>
        </w:numPr>
        <w:spacing w:after="100" w:line="280"/>
      </w:pPr>
      <w:r>
        <w:rPr>
          <w:rFonts w:ascii="Calibri" w:cs="Calibri" w:eastAsia="Calibri" w:hAnsi="Calibri"/>
          <w:color w:val="17251F"/>
          <w:sz w:val="22"/>
          <w:szCs w:val="22"/>
        </w:rPr>
        <w:t xml:space="preserve">Kerangka analisis input-proses-output-outcome untuk menganalisis kekuatan/kelemahan sistem kesehatan haji Indonesia dan Arab Saudi.</w:t>
      </w:r>
    </w:p>
    <w:p>
      <w:pPr>
        <w:pStyle w:val="ListParagraph"/>
        <w:numPr>
          <w:ilvl w:val="0"/>
          <w:numId w:val="2"/>
        </w:numPr>
        <w:spacing w:after="100" w:line="280"/>
      </w:pPr>
      <w:r>
        <w:rPr>
          <w:rFonts w:ascii="Calibri" w:cs="Calibri" w:eastAsia="Calibri" w:hAnsi="Calibri"/>
          <w:color w:val="17251F"/>
          <w:sz w:val="22"/>
          <w:szCs w:val="22"/>
        </w:rPr>
        <w:t xml:space="preserve">Keterlibatan kegiatan lapangan (survei komunitas, Posyandu lansia) untuk mengamati langsung karakteristik kesehatan populasi lanjut usia.</w:t>
      </w:r>
    </w:p>
    <w:p>
      <w:pPr>
        <w:pStyle w:val="ListParagraph"/>
        <w:numPr>
          <w:ilvl w:val="0"/>
          <w:numId w:val="2"/>
        </w:numPr>
        <w:spacing w:after="100" w:line="280"/>
      </w:pPr>
      <w:r>
        <w:rPr>
          <w:rFonts w:ascii="Calibri" w:cs="Calibri" w:eastAsia="Calibri" w:hAnsi="Calibri"/>
          <w:color w:val="17251F"/>
          <w:sz w:val="22"/>
          <w:szCs w:val="22"/>
        </w:rPr>
        <w:t xml:space="preserve">Metode penelitian kualitatif untuk menjawab pertanyaan seperti pengalaman subjektif jemaah atau persepsi budaya terhadap kepatuhan kesehatan.</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Wawasan dari Posyandu Lansia</w:t>
            </w:r>
          </w:p>
          <w:p>
            <w:pPr>
              <w:spacing w:after="0" w:line="280"/>
            </w:pPr>
            <w:r>
              <w:rPr>
                <w:rFonts w:ascii="Calibri" w:cs="Calibri" w:eastAsia="Calibri" w:hAnsi="Calibri"/>
                <w:b w:val="false"/>
                <w:bCs w:val="false"/>
                <w:color w:val="17251F"/>
                <w:sz w:val="21"/>
                <w:szCs w:val="21"/>
              </w:rPr>
              <w:t xml:space="preserve">Saat mengikuti kegiatan Posyandu lansia, seorang mahasiswa memperhatikan bahwa beberapa lansia kesulitan memahami instruksi minum obat tertulis, meski secara verbal mereka tampak mengerti. Pengamatan ini membuka wawasan bahwa edukasi kesehatan haji tertulis mungkin perlu dilengkapi metode lain — gambar, demonstrasi langsung — bagi jemaah lanjut usia dengan literasi terbatas.</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Bagaimana temuan kualitatif semacam ini melengkapi data kuantitatif yang biasa digunakan dalam perencanaan program kesehatan haji?</w:t>
      </w:r>
    </w:p>
    <w:p>
      <w:pPr>
        <w:pStyle w:val="ListParagraph"/>
        <w:numPr>
          <w:ilvl w:val="0"/>
          <w:numId w:val="2"/>
        </w:numPr>
        <w:spacing w:after="100" w:line="280"/>
      </w:pPr>
      <w:r>
        <w:rPr>
          <w:rFonts w:ascii="Calibri" w:cs="Calibri" w:eastAsia="Calibri" w:hAnsi="Calibri"/>
          <w:color w:val="17251F"/>
          <w:sz w:val="22"/>
          <w:szCs w:val="22"/>
        </w:rPr>
        <w:t xml:space="preserve">Rancang satu materi edukasi sederhana yang mempertimbangkan keterbatasan literasi yang ditemukan dalam vignette ini.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D3 — Kedokteran Haji Terintegrasi Rotasi Klinis, Bab 4. [Sumber internal ekosistem].</w:t>
      </w:r>
    </w:p>
    <w:p>
      <w:pPr>
        <w:spacing w:after="140" w:line="280"/>
        <w:ind w:left="431" w:hanging="431"/>
      </w:pPr>
      <w:r>
        <w:rPr>
          <w:rFonts w:ascii="Calibri" w:cs="Calibri" w:eastAsia="Calibri" w:hAnsi="Calibri"/>
          <w:color w:val="17251F"/>
          <w:sz w:val="20"/>
          <w:szCs w:val="20"/>
        </w:rPr>
        <w:t xml:space="preserve">2. World Health Organization. Public Health for Mass Gatherings: Key Considerations. Geneva: WHO;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2026-07-15T19:31:28.087Z</dcterms:created>
  <dcterms:modified xsi:type="dcterms:W3CDTF">2026-07-15T19:31:28.087Z</dcterms:modified>
</cp:coreProperties>
</file>

<file path=docProps/custom.xml><?xml version="1.0" encoding="utf-8"?>
<Properties xmlns="http://schemas.openxmlformats.org/officeDocument/2006/custom-properties" xmlns:vt="http://schemas.openxmlformats.org/officeDocument/2006/docPropsVTypes"/>
</file>