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2: Integrasi dengan Stase Kegawatdaruratan (IGD)</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pemetaan langsung antara triase, resusitasi cairan, dan penilaian kesadaran IGD dengan skenario kegawatan lapangan haji.</w:t>
      </w:r>
    </w:p>
    <w:p>
      <w:pPr>
        <w:pStyle w:val="ListParagraph"/>
        <w:numPr>
          <w:ilvl w:val="0"/>
          <w:numId w:val="2"/>
        </w:numPr>
        <w:spacing w:after="100" w:line="280"/>
      </w:pPr>
      <w:r>
        <w:rPr>
          <w:rFonts w:ascii="Calibri" w:cs="Calibri" w:eastAsia="Calibri" w:hAnsi="Calibri"/>
          <w:color w:val="17251F"/>
          <w:sz w:val="22"/>
          <w:szCs w:val="22"/>
        </w:rPr>
        <w:t xml:space="preserve">Menguraikan pentingnya keterampilan prosedural dan dokumentasi klinis dalam konteks kegawatan haji.</w:t>
      </w:r>
    </w:p>
    <w:p>
      <w:pPr>
        <w:pStyle w:val="ListParagraph"/>
        <w:numPr>
          <w:ilvl w:val="0"/>
          <w:numId w:val="2"/>
        </w:numPr>
        <w:spacing w:after="100" w:line="280"/>
      </w:pPr>
      <w:r>
        <w:rPr>
          <w:rFonts w:ascii="Calibri" w:cs="Calibri" w:eastAsia="Calibri" w:hAnsi="Calibri"/>
          <w:color w:val="17251F"/>
          <w:sz w:val="22"/>
          <w:szCs w:val="22"/>
        </w:rPr>
        <w:t xml:space="preserve">Menjelaskan relevansi manajemen kelelahan diri dan komunikasi krisis dengan tantangan tugas dokter kloter.</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Menyadari kesenjangan antara kompetensi IGD konvensional dengan tantangan tambahan lapangan haji (sumber daya, kerumunan, bahasa).</w:t>
      </w:r>
    </w:p>
    <w:p>
      <w:pPr>
        <w:pStyle w:val="ListParagraph"/>
        <w:numPr>
          <w:ilvl w:val="0"/>
          <w:numId w:val="2"/>
        </w:numPr>
        <w:spacing w:after="100" w:line="280"/>
      </w:pPr>
      <w:r>
        <w:rPr>
          <w:rFonts w:ascii="Calibri" w:cs="Calibri" w:eastAsia="Calibri" w:hAnsi="Calibri"/>
          <w:color w:val="17251F"/>
          <w:sz w:val="22"/>
          <w:szCs w:val="22"/>
        </w:rPr>
        <w:t xml:space="preserve">Menunjukkan kesiapan mempertahankan kewaspadaan klinis meski dalam kondisi lelah.</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penilaian GCS terstruktur pada simulasi pasien dengan gangguan kesadaran.</w:t>
      </w:r>
    </w:p>
    <w:p>
      <w:pPr>
        <w:pStyle w:val="ListParagraph"/>
        <w:numPr>
          <w:ilvl w:val="0"/>
          <w:numId w:val="2"/>
        </w:numPr>
        <w:spacing w:after="100" w:line="280"/>
      </w:pPr>
      <w:r>
        <w:rPr>
          <w:rFonts w:ascii="Calibri" w:cs="Calibri" w:eastAsia="Calibri" w:hAnsi="Calibri"/>
          <w:color w:val="17251F"/>
          <w:sz w:val="22"/>
          <w:szCs w:val="22"/>
        </w:rPr>
        <w:t xml:space="preserve">Mempraktikkan skenario simulasi heat stroke/dehidrasi berat bersama dokter pembimbing IGD.</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Stase Kegawatdaruratan menawarkan kesempatan pembelajaran paling langsung relevan dengan kompetensi tata laksana kegawatan panas dan kelelahan (MK-D02 Modul 3). Modul ini memberi panduan lebih terstruktur mengenai bagaimana memaksimalkan pembelajaran selama stase IGD untuk memperkuat kesiapan menghadapi kegawatan terkait haji di masa mendatang.</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Triase, Resusitasi Cairan, dan Penilaian Kesadaran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Kompetensi IGD</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Aplikasi Lapangan Haji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Algoritma triase (warna/skoring)</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Triase skala besar pada kerumunan, termasuk skenario Mass Casualty Incident</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Resusitasi cairan pada syok</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Tata laksana dehidrasi berat &amp; heat exhaustion dengan pemantauan non-invasif</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Penilaian kesadaran (GCS)</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Pengenalan Heat Stroke — gangguan kesadaran sebagai kriteria diagnostik utama</w:t>
            </w:r>
          </w:p>
        </w:tc>
      </w:tr>
    </w:tbl>
    <w:p>
      <w:pPr>
        <w:spacing w:after="200"/>
      </w:pPr>
      <w:r>
        <w:rPr>
          <w:rFonts w:ascii="Calibri" w:cs="Calibri" w:eastAsia="Calibri" w:hAnsi="Calibri"/>
          <w:color w:val="17251F"/>
          <w:sz w:val="22"/>
          <w:szCs w:val="22"/>
        </w:rPr>
        <w:t xml:space="preserve"/>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Mintalah kesempatan kepada dokter pembimbing IGD untuk mensimulasikan skenario heat stroke atau dehidrasi berat sebagai bagian dari bedside teaching — pengganti paparan kasus riil yang mungkin tidak selalu tersedia.</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Keterampilan Prosedural dan Dokumentasi Klinis</w:t>
      </w:r>
    </w:p>
    <w:p>
      <w:pPr>
        <w:spacing w:after="160" w:line="300"/>
      </w:pPr>
      <w:r>
        <w:rPr>
          <w:rFonts w:ascii="Calibri" w:cs="Calibri" w:eastAsia="Calibri" w:hAnsi="Calibri"/>
          <w:color w:val="17251F"/>
          <w:sz w:val="22"/>
          <w:szCs w:val="22"/>
        </w:rPr>
        <w:t xml:space="preserve">Keterampilan prosedural dasar — pemasangan akses intravena, kateter urin untuk pemantauan produksi urin, teknik dasar manajemen jalan napas — merupakan hands-on skill yang langsung diaplikasikan pada penanganan kegawatan lapangan haji. Manfaatkan setiap kesempatan praktik prosedural, karena keterampilan ini memerlukan pengulangan praktik langsung, bukan sekadar teori. Dokumentasi kasus kegawatdaruratan yang baik, termasuk pencatatan waktu kejadian secara akurat, menjadi dasar kesinambungan perawatan pasien rujukan sekaligus bahan evaluasi sistem kesehatan haji.</w:t>
      </w:r>
    </w:p>
    <w:p>
      <w:pPr>
        <w:pStyle w:val="Heading3"/>
        <w:spacing w:after="120" w:before="260"/>
      </w:pPr>
      <w:r>
        <w:rPr>
          <w:rFonts w:ascii="Cambria" w:cs="Cambria" w:eastAsia="Cambria" w:hAnsi="Cambria"/>
          <w:b/>
          <w:bCs/>
          <w:color w:val="123D33"/>
          <w:sz w:val="24"/>
          <w:szCs w:val="24"/>
        </w:rPr>
        <w:t xml:space="preserve">3. Manajemen Kelelahan Diri dan Komunikasi Krisis</w:t>
      </w:r>
    </w:p>
    <w:p>
      <w:pPr>
        <w:spacing w:after="160" w:line="300"/>
      </w:pPr>
      <w:r>
        <w:rPr>
          <w:rFonts w:ascii="Calibri" w:cs="Calibri" w:eastAsia="Calibri" w:hAnsi="Calibri"/>
          <w:color w:val="17251F"/>
          <w:sz w:val="22"/>
          <w:szCs w:val="22"/>
        </w:rPr>
        <w:t xml:space="preserve">Jaga malam yang menjadi bagian rutin stase IGD memberikan pengalaman berharga mengelola kelelahan diri sendiri sembari tetap mempertahankan kewaspadaan klinis — relevan langsung dengan tantangan dokter kloter yang tetap siaga menangani kegawatan jemaah meski dirinya sendiri lelah. Komunikasi krisis dengan keluarga pasien memiliki relevansi langsung dengan tantangan komunikasi dokter kloter di lapangan, dengan kompleksitas tambahan berupa jarak geografis dan keterbatasan komunikasi lintas bahasa.</w:t>
      </w:r>
    </w:p>
    <w:p>
      <w:pPr>
        <w:spacing w:after="160" w:line="300"/>
      </w:pPr>
      <w:r>
        <w:rPr>
          <w:rFonts w:ascii="Calibri" w:cs="Calibri" w:eastAsia="Calibri" w:hAnsi="Calibri"/>
          <w:color w:val="17251F"/>
          <w:sz w:val="22"/>
          <w:szCs w:val="22"/>
        </w:rPr>
        <w:t xml:space="preserve">Mahasiswa perlu menyadari bahwa konteks lapangan haji membawa tantangan tambahan berupa keterbatasan sumber daya, kepadatan kerumunan, dan keterbatasan komunikasi yang tidak selalu dapat direplikasi sepenuhnya dalam pembelajaran di IGD rumah sakit pendidikan — kesadaran ini penting agar tidak merasa terlalu percaya diri semata berdasarkan kompetensi IGD konvensional.</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Kewaspadaan di Jaga Malam Ketiga</w:t>
            </w:r>
          </w:p>
          <w:p>
            <w:pPr>
              <w:spacing w:after="0" w:line="280"/>
            </w:pPr>
            <w:r>
              <w:rPr>
                <w:rFonts w:ascii="Calibri" w:cs="Calibri" w:eastAsia="Calibri" w:hAnsi="Calibri"/>
                <w:b w:val="false"/>
                <w:bCs w:val="false"/>
                <w:color w:val="17251F"/>
                <w:sz w:val="21"/>
                <w:szCs w:val="21"/>
              </w:rPr>
              <w:t xml:space="preserve">Setelah jaga malam ketiga dalam seminggu, seorang mahasiswa merasa sangat lelah namun tetap harus menangani pasien gawat yang baru datang jam tiga pagi. Ia memaksa diri tetap waspada dan teliti meski secara fisik kelelahan.</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Bagaimana pengalaman ini mempersiapkan mahasiswa tersebut menghadapi tantangan serupa sebagai TKHI pada hari keenam bertugas?</w:t>
      </w:r>
    </w:p>
    <w:p>
      <w:pPr>
        <w:pStyle w:val="ListParagraph"/>
        <w:numPr>
          <w:ilvl w:val="0"/>
          <w:numId w:val="2"/>
        </w:numPr>
        <w:spacing w:after="100" w:line="280"/>
      </w:pPr>
      <w:r>
        <w:rPr>
          <w:rFonts w:ascii="Calibri" w:cs="Calibri" w:eastAsia="Calibri" w:hAnsi="Calibri"/>
          <w:color w:val="17251F"/>
          <w:sz w:val="22"/>
          <w:szCs w:val="22"/>
        </w:rPr>
        <w:t xml:space="preserve">Strategi apa yang dapat digunakan dokter muda untuk mempertahankan kewaspadaan klinis dalam kondisi lelah, tanpa mengorbankan keselamatan pasien?</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D3 — Kedokteran Haji Terintegrasi Rotasi Klinis, Bab 2. [Sumber internal ekosistem].</w:t>
      </w:r>
    </w:p>
    <w:p>
      <w:pPr>
        <w:spacing w:after="140" w:line="280"/>
        <w:ind w:left="431" w:hanging="431"/>
      </w:pPr>
      <w:r>
        <w:rPr>
          <w:rFonts w:ascii="Calibri" w:cs="Calibri" w:eastAsia="Calibri" w:hAnsi="Calibri"/>
          <w:color w:val="17251F"/>
          <w:sz w:val="20"/>
          <w:szCs w:val="20"/>
        </w:rPr>
        <w:t xml:space="preserve">2. American College of Emergency Physicians. Clinical Policy: Heat Illness. Ann Emerg Med.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2026-07-15T19:31:27.977Z</dcterms:created>
  <dcterms:modified xsi:type="dcterms:W3CDTF">2026-07-15T19:31:27.977Z</dcterms:modified>
</cp:coreProperties>
</file>

<file path=docProps/custom.xml><?xml version="1.0" encoding="utf-8"?>
<Properties xmlns="http://schemas.openxmlformats.org/officeDocument/2006/custom-properties" xmlns:vt="http://schemas.openxmlformats.org/officeDocument/2006/docPropsVTypes"/>
</file>