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mbria" w:cs="Cambria" w:eastAsia="Cambria" w:hAnsi="Cambria"/>
          <w:color w:val="526059"/>
          <w:sz w:val="20"/>
          <w:szCs w:val="20"/>
        </w:rPr>
        <w:t xml:space="preserve">MK-D02 — Kedokteran Haji untuk Dokter Muda (Buku Utama Joint Degree)</w:t>
      </w:r>
    </w:p>
    <w:p>
      <w:pPr>
        <w:spacing w:after="300"/>
      </w:pPr>
      <w:r>
        <w:rPr>
          <w:rFonts w:ascii="Cambria" w:cs="Cambria" w:eastAsia="Cambria" w:hAnsi="Cambria"/>
          <w:b/>
          <w:bCs/>
          <w:color w:val="123D33"/>
          <w:sz w:val="40"/>
          <w:szCs w:val="40"/>
        </w:rPr>
        <w:t xml:space="preserve">Modul 8: Sintesis Lintas Stase — Peta Kompetensi Kedokteran Haji dalam Siklus Rotasi Koas</w:t>
      </w:r>
    </w:p>
    <w:p>
      <w:pPr>
        <w:pBdr>
          <w:bottom w:val="single" w:color="B6862C" w:sz="18" w:space="1"/>
        </w:pBdr>
        <w:spacing w:after="300"/>
      </w:pPr>
      <w:r>
        <w:rPr>
          <w:sz w:val="2"/>
          <w:szCs w:val="2"/>
        </w:rPr>
        <w:t xml:space="preserve"/>
      </w:r>
    </w:p>
    <w:p>
      <w:pPr>
        <w:pBdr>
          <w:bottom w:val="single" w:color="1F6F5C" w:sz="8" w:space="4"/>
        </w:pBdr>
        <w:spacing w:after="200" w:before="380"/>
      </w:pPr>
      <w:r>
        <w:rPr>
          <w:rFonts w:ascii="Cambria" w:cs="Cambria" w:eastAsia="Cambria" w:hAnsi="Cambria"/>
          <w:b/>
          <w:bCs/>
          <w:color w:val="1F6F5C"/>
          <w:sz w:val="27"/>
          <w:szCs w:val="27"/>
        </w:rPr>
        <w:t xml:space="preserve">A. Tujuan Pembelajaran</w:t>
      </w:r>
    </w:p>
    <w:p>
      <w:pPr>
        <w:pStyle w:val="Heading4"/>
        <w:spacing w:after="120" w:before="260"/>
      </w:pPr>
      <w:r>
        <w:rPr>
          <w:rFonts w:ascii="Cambria" w:cs="Cambria" w:eastAsia="Cambria" w:hAnsi="Cambria"/>
          <w:b/>
          <w:bCs/>
          <w:color w:val="123D33"/>
          <w:sz w:val="24"/>
          <w:szCs w:val="24"/>
        </w:rPr>
        <w:t xml:space="preserve">1. Pengetahuan</w:t>
      </w:r>
    </w:p>
    <w:p>
      <w:pPr>
        <w:pStyle w:val="ListParagraph"/>
        <w:numPr>
          <w:ilvl w:val="0"/>
          <w:numId w:val="2"/>
        </w:numPr>
        <w:spacing w:after="100" w:line="280"/>
      </w:pPr>
      <w:r>
        <w:rPr>
          <w:rFonts w:ascii="Calibri" w:cs="Calibri" w:eastAsia="Calibri" w:hAnsi="Calibri"/>
          <w:color w:val="17251F"/>
          <w:sz w:val="22"/>
          <w:szCs w:val="22"/>
        </w:rPr>
        <w:t xml:space="preserve">Menyusun peta konsep yang menghubungkan seluruh materi Modul 1–7 dengan siklus rotasi klinis coass secara menyeluruh.</w:t>
      </w:r>
    </w:p>
    <w:p>
      <w:pPr>
        <w:pStyle w:val="ListParagraph"/>
        <w:numPr>
          <w:ilvl w:val="0"/>
          <w:numId w:val="2"/>
        </w:numPr>
        <w:spacing w:after="100" w:line="280"/>
      </w:pPr>
      <w:r>
        <w:rPr>
          <w:rFonts w:ascii="Calibri" w:cs="Calibri" w:eastAsia="Calibri" w:hAnsi="Calibri"/>
          <w:color w:val="17251F"/>
          <w:sz w:val="22"/>
          <w:szCs w:val="22"/>
        </w:rPr>
        <w:t xml:space="preserve">Mengidentifikasi pola berulang integrasi Kedokteran Haji yang berlaku lintas stase, bukan hanya pada tiga stase utama.</w:t>
      </w:r>
    </w:p>
    <w:p>
      <w:pPr>
        <w:pStyle w:val="Heading4"/>
        <w:spacing w:after="120" w:before="260"/>
      </w:pPr>
      <w:r>
        <w:rPr>
          <w:rFonts w:ascii="Cambria" w:cs="Cambria" w:eastAsia="Cambria" w:hAnsi="Cambria"/>
          <w:b/>
          <w:bCs/>
          <w:color w:val="123D33"/>
          <w:sz w:val="24"/>
          <w:szCs w:val="24"/>
        </w:rPr>
        <w:t xml:space="preserve">2. Sikap</w:t>
      </w:r>
    </w:p>
    <w:p>
      <w:pPr>
        <w:pStyle w:val="ListParagraph"/>
        <w:numPr>
          <w:ilvl w:val="0"/>
          <w:numId w:val="2"/>
        </w:numPr>
        <w:spacing w:after="100" w:line="280"/>
      </w:pPr>
      <w:r>
        <w:rPr>
          <w:rFonts w:ascii="Calibri" w:cs="Calibri" w:eastAsia="Calibri" w:hAnsi="Calibri"/>
          <w:color w:val="17251F"/>
          <w:sz w:val="22"/>
          <w:szCs w:val="22"/>
        </w:rPr>
        <w:t xml:space="preserve">Membangun pola pikir integratif sebagai kebiasaan permanen, bukan sekadar tugas modul.</w:t>
      </w:r>
    </w:p>
    <w:p>
      <w:pPr>
        <w:pStyle w:val="Heading4"/>
        <w:spacing w:after="120" w:before="260"/>
      </w:pPr>
      <w:r>
        <w:rPr>
          <w:rFonts w:ascii="Cambria" w:cs="Cambria" w:eastAsia="Cambria" w:hAnsi="Cambria"/>
          <w:b/>
          <w:bCs/>
          <w:color w:val="123D33"/>
          <w:sz w:val="24"/>
          <w:szCs w:val="24"/>
        </w:rPr>
        <w:t xml:space="preserve">3. Psikomotor</w:t>
      </w:r>
    </w:p>
    <w:p>
      <w:pPr>
        <w:pStyle w:val="ListParagraph"/>
        <w:numPr>
          <w:ilvl w:val="0"/>
          <w:numId w:val="2"/>
        </w:numPr>
        <w:spacing w:after="100" w:line="280"/>
      </w:pPr>
      <w:r>
        <w:rPr>
          <w:rFonts w:ascii="Calibri" w:cs="Calibri" w:eastAsia="Calibri" w:hAnsi="Calibri"/>
          <w:color w:val="17251F"/>
          <w:sz w:val="22"/>
          <w:szCs w:val="22"/>
        </w:rPr>
        <w:t xml:space="preserve">Menyusun peta kompetensi pribadi (competency map) yang memetakan capaian Kedokteran Haji terhadap jadwal rotasi klinis masing-masing.</w:t>
      </w:r>
    </w:p>
    <w:p>
      <w:pPr>
        <w:pBdr>
          <w:bottom w:val="single" w:color="1F6F5C" w:sz="8" w:space="4"/>
        </w:pBdr>
        <w:spacing w:after="200" w:before="380"/>
      </w:pPr>
      <w:r>
        <w:rPr>
          <w:rFonts w:ascii="Cambria" w:cs="Cambria" w:eastAsia="Cambria" w:hAnsi="Cambria"/>
          <w:b/>
          <w:bCs/>
          <w:color w:val="1F6F5C"/>
          <w:sz w:val="27"/>
          <w:szCs w:val="27"/>
        </w:rPr>
        <w:t xml:space="preserve">B. Deskripsi</w:t>
      </w:r>
    </w:p>
    <w:p>
      <w:pPr>
        <w:spacing w:after="160" w:line="300"/>
      </w:pPr>
      <w:r>
        <w:rPr>
          <w:rFonts w:ascii="Calibri" w:cs="Calibri" w:eastAsia="Calibri" w:hAnsi="Calibri"/>
          <w:color w:val="17251F"/>
          <w:sz w:val="22"/>
          <w:szCs w:val="22"/>
        </w:rPr>
        <w:t xml:space="preserve">Modul sintesis ini mengajak mahasiswa melangkah mundur dari pembahasan bab per bab pada Modul 1–7, untuk melihat keseluruhan Kedokteran Haji sebagai satu peta kompetensi yang koheren di sepanjang siklus rotasi koas. Tanpa langkah sintesis ini, pengetahuan yang diperoleh berisiko tetap terfragmentasi per stase, alih-alih menjadi kerangka berpikir klinis yang utuh dan siap diterapkan kapan pun dibutuhkan.</w:t>
      </w:r>
    </w:p>
    <w:p>
      <w:pPr>
        <w:pBdr>
          <w:bottom w:val="single" w:color="1F6F5C" w:sz="8" w:space="4"/>
        </w:pBdr>
        <w:spacing w:after="200" w:before="380"/>
      </w:pPr>
      <w:r>
        <w:rPr>
          <w:rFonts w:ascii="Cambria" w:cs="Cambria" w:eastAsia="Cambria" w:hAnsi="Cambria"/>
          <w:b/>
          <w:bCs/>
          <w:color w:val="1F6F5C"/>
          <w:sz w:val="27"/>
          <w:szCs w:val="27"/>
        </w:rPr>
        <w:t xml:space="preserve">C. Materi Inti</w:t>
      </w:r>
    </w:p>
    <w:p>
      <w:pPr>
        <w:pStyle w:val="Heading3"/>
        <w:spacing w:after="120" w:before="260"/>
      </w:pPr>
      <w:r>
        <w:rPr>
          <w:rFonts w:ascii="Cambria" w:cs="Cambria" w:eastAsia="Cambria" w:hAnsi="Cambria"/>
          <w:b/>
          <w:bCs/>
          <w:color w:val="123D33"/>
          <w:sz w:val="24"/>
          <w:szCs w:val="24"/>
        </w:rPr>
        <w:t xml:space="preserve">1. Mengapa Sintesis Diperlukan</w:t>
      </w:r>
    </w:p>
    <w:p>
      <w:pPr>
        <w:spacing w:after="160" w:line="300"/>
      </w:pPr>
      <w:r>
        <w:rPr>
          <w:rFonts w:ascii="Calibri" w:cs="Calibri" w:eastAsia="Calibri" w:hAnsi="Calibri"/>
          <w:color w:val="17251F"/>
          <w:sz w:val="22"/>
          <w:szCs w:val="22"/>
        </w:rPr>
        <w:t xml:space="preserve">Modul 1 hingga 7 membahas topik Kedokteran Haji secara berurutan — urgensi pembelajaran, integrasi stase, kegawatan panas, komorbid kronik, epidemiologi-kebijakan, metodologi riset, dan penyusunan capstone. Pembahasan berurutan ini efektif untuk pendalaman per topik, namun berisiko membuat mahasiswa memandang setiap bab sebagai unit terpisah. Modul ini menyatukan kembali ketujuh bab tersebut ke dalam satu peta kompetensi yang dipetakan terhadap siklus rotasi klinis nyata.</w:t>
      </w:r>
    </w:p>
    <w:p>
      <w:pPr>
        <w:pStyle w:val="Heading3"/>
        <w:spacing w:after="120" w:before="260"/>
      </w:pPr>
      <w:r>
        <w:rPr>
          <w:rFonts w:ascii="Cambria" w:cs="Cambria" w:eastAsia="Cambria" w:hAnsi="Cambria"/>
          <w:b/>
          <w:bCs/>
          <w:color w:val="123D33"/>
          <w:sz w:val="24"/>
          <w:szCs w:val="24"/>
        </w:rPr>
        <w:t xml:space="preserve">2. Peta Kompetensi Terhadap Siklus Rotasi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Fase Rotasi</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Kompetensi Kedokteran Haji yang Relevan</w:t>
            </w:r>
          </w:p>
        </w:tc>
        <w:tc>
          <w:tcPr>
            <w:tcW w:type="dxa" w:w="3120"/>
            <w:shd w:fill="E8F2EE" w:val="clear"/>
            <w:tcMar>
              <w:top w:type="dxa" w:w="100"/>
              <w:left w:type="dxa" w:w="120"/>
              <w:bottom w:type="dxa" w:w="100"/>
              <w:right w:type="dxa" w:w="120"/>
            </w:tcMar>
          </w:tcPr>
          <w:p>
            <w:r>
              <w:rPr>
                <w:rFonts w:ascii="Calibri" w:cs="Calibri" w:eastAsia="Calibri" w:hAnsi="Calibri"/>
                <w:b/>
                <w:bCs/>
                <w:color w:val="123D33"/>
                <w:sz w:val="20"/>
                <w:szCs w:val="20"/>
              </w:rPr>
              <w:t xml:space="preserve">Modul Rujukan</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Awal rotasi (orientasi)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Kesadaran urgensi &amp; motivasi belajar Kedokteran Haji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M1</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Stase IGD</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Triase &amp; tata laksana kegawatan panas</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M2, M3</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Stase Interna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Pengelolaan komorbid kronik lanjut usia</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M2, M4</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Stase Kardiologi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Stratifikasi risiko kardiovaskular pra-haji</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M2, M4</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Stase IKM</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Epidemiologi &amp; kebijakan istithaah</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M5</w:t>
            </w:r>
          </w:p>
        </w:tc>
      </w:tr>
      <w:tr>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Sepanjang rotasi (paralel)</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Perancangan &amp; pengerjaan mini-riset capstone</w:t>
            </w:r>
          </w:p>
        </w:tc>
        <w:tc>
          <w:tcPr>
            <w:tcW w:type="dxa" w:w="3120"/>
            <w:tcBorders>
              <w:top w:val="single" w:color="E1E9E5" w:sz="2"/>
              <w:left w:val="single" w:color="E1E9E5" w:sz="2"/>
              <w:bottom w:val="single" w:color="E1E9E5" w:sz="2"/>
              <w:right w:val="single" w:color="E1E9E5" w:sz="2"/>
            </w:tcBorders>
            <w:tcMar>
              <w:top w:type="dxa" w:w="100"/>
              <w:left w:type="dxa" w:w="120"/>
              <w:bottom w:type="dxa" w:w="100"/>
              <w:right w:type="dxa" w:w="120"/>
            </w:tcMar>
          </w:tcPr>
          <w:p>
            <w:r>
              <w:rPr>
                <w:rFonts w:ascii="Calibri" w:cs="Calibri" w:eastAsia="Calibri" w:hAnsi="Calibri"/>
                <w:color w:val="17251F"/>
                <w:sz w:val="20"/>
                <w:szCs w:val="20"/>
              </w:rPr>
              <w:t xml:space="preserve">M6, M7</w:t>
            </w:r>
          </w:p>
        </w:tc>
      </w:tr>
    </w:tbl>
    <w:p>
      <w:pPr>
        <w:spacing w:after="2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3. Pola Berulang yang Melampaui Tiga Stase Utama</w:t>
      </w:r>
    </w:p>
    <w:p>
      <w:pPr>
        <w:spacing w:after="160" w:line="300"/>
      </w:pPr>
      <w:r>
        <w:rPr>
          <w:rFonts w:ascii="Calibri" w:cs="Calibri" w:eastAsia="Calibri" w:hAnsi="Calibri"/>
          <w:color w:val="17251F"/>
          <w:sz w:val="22"/>
          <w:szCs w:val="22"/>
        </w:rPr>
        <w:t xml:space="preserve">Meskipun IGD, Interna, dan Kardiologi menjadi titik integrasi paling eksplisit, pola berpikir yang sama — menghubungkan kompetensi klinis umum yang sedang dipelajari dengan konteks khusus haji — berlaku di stase mana pun, sebagaimana diilustrasikan pada kasus fraktur di stase Bedah pada Modul 2. Keterampilan metakognitif untuk terus mencari titik temu inilah yang menjadi benang merah sesungguhnya dari seluruh Modul 1–7, lebih penting daripada hafalan daftar topik per bab.</w:t>
      </w:r>
    </w:p>
    <w:tbl>
      <w:tblPr>
        <w:tblW w:type="pct" w:w="100%"/>
        <w:tblBorders>
          <w:top w:val="single" w:color="B6862C" w:sz="6"/>
          <w:left w:val="single" w:color="B6862C" w:sz="6"/>
          <w:bottom w:val="single" w:color="B6862C" w:sz="6"/>
          <w:right w:val="single" w:color="B6862C" w:sz="6"/>
          <w:insideH w:val="none" w:color="FFFFFF" w:sz="0"/>
          <w:insideV w:val="none" w:color="FFFFFF" w:sz="0"/>
        </w:tblBorders>
      </w:tblPr>
      <w:tblGrid>
        <w:gridCol w:w="100"/>
      </w:tblGrid>
      <w:tr>
        <w:tc>
          <w:tcPr>
            <w:tcW w:type="pct" w:w="100%"/>
            <w:shd w:fill="FBF3E1"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Inti sintesis</w:t>
            </w:r>
          </w:p>
          <w:p>
            <w:pPr>
              <w:spacing w:after="0" w:line="280"/>
            </w:pPr>
            <w:r>
              <w:rPr>
                <w:rFonts w:ascii="Calibri" w:cs="Calibri" w:eastAsia="Calibri" w:hAnsi="Calibri"/>
                <w:b w:val="false"/>
                <w:bCs w:val="false"/>
                <w:color w:val="17251F"/>
                <w:sz w:val="21"/>
                <w:szCs w:val="21"/>
              </w:rPr>
              <w:t xml:space="preserve">Kedokteran Haji bukan mata kuliah yang berdiri sendiri di luar rotasi klinis, melainkan lensa tambahan yang dapat dipakai pada hampir semua kasus klinis yang ditemui coass sehari-hari — kapan pun relevansinya muncul.</w:t>
            </w:r>
          </w:p>
        </w:tc>
      </w:tr>
    </w:tbl>
    <w:p>
      <w:pPr>
        <w:spacing w:after="100"/>
      </w:pPr>
      <w:r>
        <w:rPr>
          <w:rFonts w:ascii="Calibri" w:cs="Calibri" w:eastAsia="Calibri" w:hAnsi="Calibri"/>
          <w:color w:val="17251F"/>
          <w:sz w:val="22"/>
          <w:szCs w:val="22"/>
        </w:rPr>
        <w:t xml:space="preserve"/>
      </w:r>
    </w:p>
    <w:p>
      <w:pPr>
        <w:pStyle w:val="Heading3"/>
        <w:spacing w:after="120" w:before="260"/>
      </w:pPr>
      <w:r>
        <w:rPr>
          <w:rFonts w:ascii="Cambria" w:cs="Cambria" w:eastAsia="Cambria" w:hAnsi="Cambria"/>
          <w:b/>
          <w:bCs/>
          <w:color w:val="123D33"/>
          <w:sz w:val="24"/>
          <w:szCs w:val="24"/>
        </w:rPr>
        <w:t xml:space="preserve">4. Menyusun Peta Kompetensi Pribadi</w:t>
      </w:r>
    </w:p>
    <w:p>
      <w:pPr>
        <w:spacing w:after="160" w:line="300"/>
      </w:pPr>
      <w:r>
        <w:rPr>
          <w:rFonts w:ascii="Calibri" w:cs="Calibri" w:eastAsia="Calibri" w:hAnsi="Calibri"/>
          <w:color w:val="17251F"/>
          <w:sz w:val="22"/>
          <w:szCs w:val="22"/>
        </w:rPr>
        <w:t xml:space="preserve">Sebagai latihan sintesis, mahasiswa disarankan menyusun peta kompetensi pribadi: daftar stase yang telah dan akan dijalani, dipetakan terhadap topik Kedokteran Haji yang relevan serta contoh konkret penerapan yang telah atau berencana dilakukan. Peta ini menjadi fondasi bagi portofolio pembelajaran terintegrasi yang akan dibahas lebih rinci pada buku D3.</w:t>
      </w:r>
    </w:p>
    <w:p>
      <w:pPr>
        <w:pBdr>
          <w:bottom w:val="single" w:color="1F6F5C" w:sz="8" w:space="4"/>
        </w:pBdr>
        <w:spacing w:after="200" w:before="380"/>
      </w:pPr>
      <w:r>
        <w:rPr>
          <w:rFonts w:ascii="Cambria" w:cs="Cambria" w:eastAsia="Cambria" w:hAnsi="Cambria"/>
          <w:b/>
          <w:bCs/>
          <w:color w:val="1F6F5C"/>
          <w:sz w:val="27"/>
          <w:szCs w:val="27"/>
        </w:rPr>
        <w:t xml:space="preserve">D. Ilustrasi Kasus (Vignette)</w:t>
      </w:r>
    </w:p>
    <w:tbl>
      <w:tblPr>
        <w:tblW w:type="pct" w:w="100%"/>
        <w:tblBorders>
          <w:top w:val="single" w:color="5A5FA8" w:sz="6"/>
          <w:left w:val="single" w:color="5A5FA8" w:sz="6"/>
          <w:bottom w:val="single" w:color="5A5FA8" w:sz="6"/>
          <w:right w:val="single" w:color="5A5FA8" w:sz="6"/>
          <w:insideH w:val="none" w:color="FFFFFF" w:sz="0"/>
          <w:insideV w:val="none" w:color="FFFFFF" w:sz="0"/>
        </w:tblBorders>
      </w:tblPr>
      <w:tblGrid>
        <w:gridCol w:w="100"/>
      </w:tblGrid>
      <w:tr>
        <w:tc>
          <w:tcPr>
            <w:tcW w:type="pct" w:w="100%"/>
            <w:shd w:fill="E8F2EE" w:val="clear"/>
            <w:tcMar>
              <w:top w:type="dxa" w:w="160"/>
              <w:left w:type="dxa" w:w="220"/>
              <w:bottom w:type="dxa" w:w="160"/>
              <w:right w:type="dxa" w:w="220"/>
            </w:tcMar>
          </w:tcPr>
          <w:p>
            <w:pPr>
              <w:spacing w:after="80" w:line="280"/>
            </w:pPr>
            <w:r>
              <w:rPr>
                <w:rFonts w:ascii="Calibri" w:cs="Calibri" w:eastAsia="Calibri" w:hAnsi="Calibri"/>
                <w:b/>
                <w:bCs/>
                <w:color w:val="17251F"/>
                <w:sz w:val="21"/>
                <w:szCs w:val="21"/>
              </w:rPr>
              <w:t xml:space="preserve">Vignette: Menyusun Peta Kompetensi di Tengah Rotasi</w:t>
            </w:r>
          </w:p>
          <w:p>
            <w:pPr>
              <w:spacing w:after="0" w:line="280"/>
            </w:pPr>
            <w:r>
              <w:rPr>
                <w:rFonts w:ascii="Calibri" w:cs="Calibri" w:eastAsia="Calibri" w:hAnsi="Calibri"/>
                <w:b w:val="false"/>
                <w:bCs w:val="false"/>
                <w:color w:val="17251F"/>
                <w:sz w:val="21"/>
                <w:szCs w:val="21"/>
              </w:rPr>
              <w:t xml:space="preserve">Seorang mahasiswa Joint Degree yang telah menyelesaikan stase IGD dan Interna, serta sedang menjalani stase Kardiologi, duduk merenung menyusun peta kompetensi pribadinya. Ia menyadari bahwa pengalaman menangani pasien heat exhaustion simulasi di IGD dan pasien diabetes lanjut usia di Interna sesungguhnya membentuk satu kesatuan pemahaman mengenai jemaah lanjut usia berisiko tinggi — bukan dua pengalaman terpisah.</w:t>
            </w:r>
          </w:p>
        </w:tc>
      </w:tr>
    </w:tbl>
    <w:p>
      <w:pPr>
        <w:spacing w:after="160"/>
      </w:pPr>
      <w:r>
        <w:rPr>
          <w:rFonts w:ascii="Calibri" w:cs="Calibri" w:eastAsia="Calibri" w:hAnsi="Calibri"/>
          <w:color w:val="17251F"/>
          <w:sz w:val="22"/>
          <w:szCs w:val="22"/>
        </w:rPr>
        <w:t xml:space="preserve"/>
      </w:r>
    </w:p>
    <w:p>
      <w:pPr>
        <w:pStyle w:val="Heading4"/>
        <w:spacing w:after="120" w:before="260"/>
      </w:pPr>
      <w:r>
        <w:rPr>
          <w:rFonts w:ascii="Cambria" w:cs="Cambria" w:eastAsia="Cambria" w:hAnsi="Cambria"/>
          <w:b/>
          <w:bCs/>
          <w:color w:val="123D33"/>
          <w:sz w:val="24"/>
          <w:szCs w:val="24"/>
        </w:rPr>
        <w:t xml:space="preserve">Pertanyaan Reflektif</w:t>
      </w:r>
    </w:p>
    <w:p>
      <w:pPr>
        <w:pStyle w:val="ListParagraph"/>
        <w:numPr>
          <w:ilvl w:val="0"/>
          <w:numId w:val="2"/>
        </w:numPr>
        <w:spacing w:after="100" w:line="280"/>
      </w:pPr>
      <w:r>
        <w:rPr>
          <w:rFonts w:ascii="Calibri" w:cs="Calibri" w:eastAsia="Calibri" w:hAnsi="Calibri"/>
          <w:color w:val="17251F"/>
          <w:sz w:val="22"/>
          <w:szCs w:val="22"/>
        </w:rPr>
        <w:t xml:space="preserve">Bagaimana Anda akan menyusun peta kompetensi pribadi berdasarkan stase yang telah Anda jalani sejauh ini?</w:t>
      </w:r>
    </w:p>
    <w:p>
      <w:pPr>
        <w:pStyle w:val="ListParagraph"/>
        <w:numPr>
          <w:ilvl w:val="0"/>
          <w:numId w:val="2"/>
        </w:numPr>
        <w:spacing w:after="100" w:line="280"/>
      </w:pPr>
      <w:r>
        <w:rPr>
          <w:rFonts w:ascii="Calibri" w:cs="Calibri" w:eastAsia="Calibri" w:hAnsi="Calibri"/>
          <w:color w:val="17251F"/>
          <w:sz w:val="22"/>
          <w:szCs w:val="22"/>
        </w:rPr>
        <w:t xml:space="preserve">Pola integrasi apa yang menurut Anda paling sering berulang lintas stase, berdasarkan pengalaman Anda sendiri?</w:t>
      </w:r>
    </w:p>
    <w:p>
      <w:pPr>
        <w:pBdr>
          <w:bottom w:val="single" w:color="1F6F5C" w:sz="8" w:space="4"/>
        </w:pBdr>
        <w:spacing w:after="200" w:before="380"/>
      </w:pPr>
      <w:r>
        <w:rPr>
          <w:rFonts w:ascii="Cambria" w:cs="Cambria" w:eastAsia="Cambria" w:hAnsi="Cambria"/>
          <w:b/>
          <w:bCs/>
          <w:color w:val="1F6F5C"/>
          <w:sz w:val="27"/>
          <w:szCs w:val="27"/>
        </w:rPr>
        <w:t xml:space="preserve">E. Referensi</w:t>
      </w:r>
    </w:p>
    <w:p>
      <w:pPr>
        <w:spacing w:after="140" w:line="280"/>
        <w:ind w:left="431" w:hanging="431"/>
      </w:pPr>
      <w:r>
        <w:rPr>
          <w:rFonts w:ascii="Calibri" w:cs="Calibri" w:eastAsia="Calibri" w:hAnsi="Calibri"/>
          <w:color w:val="17251F"/>
          <w:sz w:val="20"/>
          <w:szCs w:val="20"/>
        </w:rPr>
        <w:t xml:space="preserve">1. Perpustakaan Digital ABBA. Sintesis internal MK-D02 berdasarkan Buku D2 Bab 1–7. [Sumber internal ekosistem].</w:t>
      </w:r>
    </w:p>
    <w:p>
      <w:pPr>
        <w:spacing w:after="140" w:line="280"/>
        <w:ind w:left="431" w:hanging="431"/>
      </w:pPr>
      <w:r>
        <w:rPr>
          <w:rFonts w:ascii="Calibri" w:cs="Calibri" w:eastAsia="Calibri" w:hAnsi="Calibri"/>
          <w:color w:val="17251F"/>
          <w:sz w:val="20"/>
          <w:szCs w:val="20"/>
        </w:rPr>
        <w:t xml:space="preserve">2. Association of American Medical Colleges. The Core Entrustable Professional Activities (EPAs) for Entering Residency. Washington DC: AAMC; 2014. Available from: https://www.aamc.org/about-us/mission-areas/medical-education/cbme/core-epas</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260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9E5" w:sz="4" w:space="4"/>
      </w:pBdr>
      <w:jc w:val="right"/>
    </w:pPr>
    <w:r>
      <w:rPr>
        <w:rFonts w:ascii="Calibri" w:cs="Calibri" w:eastAsia="Calibri" w:hAnsi="Calibri"/>
        <w:i/>
        <w:iCs/>
        <w:color w:val="526059"/>
        <w:sz w:val="16"/>
        <w:szCs w:val="16"/>
      </w:rPr>
      <w:t xml:space="preserve">Ekosistem Pendidikan Kedokteran Haji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7251F"/>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2026-07-15T19:31:03.977Z</dcterms:created>
  <dcterms:modified xsi:type="dcterms:W3CDTF">2026-07-15T19:31:03.977Z</dcterms:modified>
</cp:coreProperties>
</file>

<file path=docProps/custom.xml><?xml version="1.0" encoding="utf-8"?>
<Properties xmlns="http://schemas.openxmlformats.org/officeDocument/2006/custom-properties" xmlns:vt="http://schemas.openxmlformats.org/officeDocument/2006/docPropsVTypes"/>
</file>