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7: Penyusunan Laporan Capstone Joint Degree</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struktur standar laporan capstone dan keterkaitannya dengan konteks klinis/kebijakan Kedokteran Haji.</w:t>
      </w:r>
    </w:p>
    <w:p>
      <w:pPr>
        <w:pStyle w:val="ListParagraph"/>
        <w:numPr>
          <w:ilvl w:val="0"/>
          <w:numId w:val="2"/>
        </w:numPr>
        <w:spacing w:after="100" w:line="280"/>
      </w:pPr>
      <w:r>
        <w:rPr>
          <w:rFonts w:ascii="Calibri" w:cs="Calibri" w:eastAsia="Calibri" w:hAnsi="Calibri"/>
          <w:color w:val="17251F"/>
          <w:sz w:val="22"/>
          <w:szCs w:val="22"/>
        </w:rPr>
        <w:t xml:space="preserve">Menguraikan proses bimbingan dan kriteria penilaian capstone Joint Degree.</w:t>
      </w:r>
    </w:p>
    <w:p>
      <w:pPr>
        <w:pStyle w:val="ListParagraph"/>
        <w:numPr>
          <w:ilvl w:val="0"/>
          <w:numId w:val="2"/>
        </w:numPr>
        <w:spacing w:after="100" w:line="280"/>
      </w:pPr>
      <w:r>
        <w:rPr>
          <w:rFonts w:ascii="Calibri" w:cs="Calibri" w:eastAsia="Calibri" w:hAnsi="Calibri"/>
          <w:color w:val="17251F"/>
          <w:sz w:val="22"/>
          <w:szCs w:val="22"/>
        </w:rPr>
        <w:t xml:space="preserve">Menjelaskan aspek format penulisan, presentasi, dan diseminasi hasil capstone.</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sikap terbuka terhadap kritik metodologis sebagai bagian dari kematangan akademik.</w:t>
      </w:r>
    </w:p>
    <w:p>
      <w:pPr>
        <w:pStyle w:val="ListParagraph"/>
        <w:numPr>
          <w:ilvl w:val="0"/>
          <w:numId w:val="2"/>
        </w:numPr>
        <w:spacing w:after="100" w:line="280"/>
      </w:pPr>
      <w:r>
        <w:rPr>
          <w:rFonts w:ascii="Calibri" w:cs="Calibri" w:eastAsia="Calibri" w:hAnsi="Calibri"/>
          <w:color w:val="17251F"/>
          <w:sz w:val="22"/>
          <w:szCs w:val="22"/>
        </w:rPr>
        <w:t xml:space="preserve">Menghargai pentingnya keterkaitan eksplisit antara temuan capstone dengan peningkatan praktik Kedokteran Haji.</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kerangka laporan capstone sesuai struktur standar karya ilmiah kedokteran.</w:t>
      </w:r>
    </w:p>
    <w:p>
      <w:pPr>
        <w:pStyle w:val="ListParagraph"/>
        <w:numPr>
          <w:ilvl w:val="0"/>
          <w:numId w:val="2"/>
        </w:numPr>
        <w:spacing w:after="100" w:line="280"/>
      </w:pPr>
      <w:r>
        <w:rPr>
          <w:rFonts w:ascii="Calibri" w:cs="Calibri" w:eastAsia="Calibri" w:hAnsi="Calibri"/>
          <w:color w:val="17251F"/>
          <w:sz w:val="22"/>
          <w:szCs w:val="22"/>
        </w:rPr>
        <w:t xml:space="preserve">Mempraktikkan simulasi menjawab pertanyaan kritis penguji mengenai keterbatasan studi.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Bab penutup buku D2 ini memberi panduan praktis penyusunan laporan capstone sebagai syarat akhir kelulusan program Joint Degree Kedokteran Haji. Penyelesaian capstone bukan sekadar syarat administratif, melainkan puncak perjalanan yang mengintegrasikan seluruh kompetensi klinis dan pengetahuan Kedokteran Haji yang dibangun sepanjang masa coass.</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Struktur Laporan dan Keterkaitannya dengan Konteks Kedokteran Haji</w:t>
      </w:r>
    </w:p>
    <w:p>
      <w:pPr>
        <w:pStyle w:val="ListParagraph"/>
        <w:numPr>
          <w:ilvl w:val="0"/>
          <w:numId w:val="2"/>
        </w:numPr>
        <w:spacing w:after="100" w:line="280"/>
      </w:pPr>
      <w:r>
        <w:rPr>
          <w:rFonts w:ascii="Calibri" w:cs="Calibri" w:eastAsia="Calibri" w:hAnsi="Calibri"/>
          <w:color w:val="17251F"/>
          <w:sz w:val="22"/>
          <w:szCs w:val="22"/>
        </w:rPr>
        <w:t xml:space="preserve">Pendahuluan — latar belakang dan rumusan pertanyaan studi.</w:t>
      </w:r>
    </w:p>
    <w:p>
      <w:pPr>
        <w:pStyle w:val="ListParagraph"/>
        <w:numPr>
          <w:ilvl w:val="0"/>
          <w:numId w:val="2"/>
        </w:numPr>
        <w:spacing w:after="100" w:line="280"/>
      </w:pPr>
      <w:r>
        <w:rPr>
          <w:rFonts w:ascii="Calibri" w:cs="Calibri" w:eastAsia="Calibri" w:hAnsi="Calibri"/>
          <w:color w:val="17251F"/>
          <w:sz w:val="22"/>
          <w:szCs w:val="22"/>
        </w:rPr>
        <w:t xml:space="preserve">Tinjauan pustaka — sintesis kritis literatur relevan, bukan sekadar rangkuman satu per satu sumber.</w:t>
      </w:r>
    </w:p>
    <w:p>
      <w:pPr>
        <w:pStyle w:val="ListParagraph"/>
        <w:numPr>
          <w:ilvl w:val="0"/>
          <w:numId w:val="2"/>
        </w:numPr>
        <w:spacing w:after="100" w:line="280"/>
      </w:pPr>
      <w:r>
        <w:rPr>
          <w:rFonts w:ascii="Calibri" w:cs="Calibri" w:eastAsia="Calibri" w:hAnsi="Calibri"/>
          <w:color w:val="17251F"/>
          <w:sz w:val="22"/>
          <w:szCs w:val="22"/>
        </w:rPr>
        <w:t xml:space="preserve">Metode — penjelasan rinci dan transparan pelaksanaan studi.</w:t>
      </w:r>
    </w:p>
    <w:p>
      <w:pPr>
        <w:pStyle w:val="ListParagraph"/>
        <w:numPr>
          <w:ilvl w:val="0"/>
          <w:numId w:val="2"/>
        </w:numPr>
        <w:spacing w:after="100" w:line="280"/>
      </w:pPr>
      <w:r>
        <w:rPr>
          <w:rFonts w:ascii="Calibri" w:cs="Calibri" w:eastAsia="Calibri" w:hAnsi="Calibri"/>
          <w:color w:val="17251F"/>
          <w:sz w:val="22"/>
          <w:szCs w:val="22"/>
        </w:rPr>
        <w:t xml:space="preserve">Hasil — temuan disajikan objektif tanpa interpretasi berlebihan.</w:t>
      </w:r>
    </w:p>
    <w:p>
      <w:pPr>
        <w:pStyle w:val="ListParagraph"/>
        <w:numPr>
          <w:ilvl w:val="0"/>
          <w:numId w:val="2"/>
        </w:numPr>
        <w:spacing w:after="100" w:line="280"/>
      </w:pPr>
      <w:r>
        <w:rPr>
          <w:rFonts w:ascii="Calibri" w:cs="Calibri" w:eastAsia="Calibri" w:hAnsi="Calibri"/>
          <w:color w:val="17251F"/>
          <w:sz w:val="22"/>
          <w:szCs w:val="22"/>
        </w:rPr>
        <w:t xml:space="preserve">Pembahasan — interpretasi temuan dalam konteks literatur lebih luas, termasuk keterbatasan studi yang jujur diakui.</w:t>
      </w:r>
    </w:p>
    <w:p>
      <w:pPr>
        <w:pStyle w:val="ListParagraph"/>
        <w:numPr>
          <w:ilvl w:val="0"/>
          <w:numId w:val="2"/>
        </w:numPr>
        <w:spacing w:after="100" w:line="280"/>
      </w:pPr>
      <w:r>
        <w:rPr>
          <w:rFonts w:ascii="Calibri" w:cs="Calibri" w:eastAsia="Calibri" w:hAnsi="Calibri"/>
          <w:color w:val="17251F"/>
          <w:sz w:val="22"/>
          <w:szCs w:val="22"/>
        </w:rPr>
        <w:t xml:space="preserve">Kesimpulan — merangkum temuan utama.</w:t>
      </w:r>
    </w:p>
    <w:p>
      <w:pPr>
        <w:spacing w:after="160" w:line="300"/>
      </w:pPr>
      <w:r>
        <w:rPr>
          <w:rFonts w:ascii="Calibri" w:cs="Calibri" w:eastAsia="Calibri" w:hAnsi="Calibri"/>
          <w:color w:val="17251F"/>
          <w:sz w:val="22"/>
          <w:szCs w:val="22"/>
        </w:rPr>
        <w:t xml:space="preserve">Aspek penting yang perlu ditekankan adalah keterkaitan eksplisit dengan konteks klinis atau kebijakan Kedokteran Haji — laporan yang baik tidak hanya memenuhi standar metodologis akademik, tetapi juga jelas menunjukkan relevansi dan kontribusi temuan terhadap peningkatan pemahaman atau praktik Kedokteran Haji.</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Perbandingan dua laporan dengan metode sama</w:t>
            </w:r>
          </w:p>
          <w:p>
            <w:pPr>
              <w:spacing w:after="0" w:line="280"/>
            </w:pPr>
            <w:r>
              <w:rPr>
                <w:rFonts w:ascii="Calibri" w:cs="Calibri" w:eastAsia="Calibri" w:hAnsi="Calibri"/>
                <w:b w:val="false"/>
                <w:bCs w:val="false"/>
                <w:color w:val="17251F"/>
                <w:sz w:val="21"/>
                <w:szCs w:val="21"/>
              </w:rPr>
              <w:t xml:space="preserve">Mahasiswa pertama hanya melaporkan angka peningkatan skor pengetahuan tanpa mengaitkannya lebih jauh. Mahasiswa kedua menghubungkan temuannya dengan pertanyaan lebih besar: materi edukasi mana yang paling efektif meningkatkan kewaspadaan jemaah, dan bagaimana temuan ini memperbaiki modul edukasi manasik kesehatan di wilayahnya. Laporan kedua dinilai lebih tinggi karena keterkaitan eksplisitnya.</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Bimbingan dan Kriteria Penilaian</w:t>
      </w:r>
    </w:p>
    <w:p>
      <w:pPr>
        <w:spacing w:after="160" w:line="300"/>
      </w:pPr>
      <w:r>
        <w:rPr>
          <w:rFonts w:ascii="Calibri" w:cs="Calibri" w:eastAsia="Calibri" w:hAnsi="Calibri"/>
          <w:color w:val="17251F"/>
          <w:sz w:val="22"/>
          <w:szCs w:val="22"/>
        </w:rPr>
        <w:t xml:space="preserve">Proses bimbingan idealnya melibatkan pembimbing yang kompeten baik di metodologi penelitian maupun substansi Kedokteran Haji. Mahasiswa disarankan menjadwalkan pertemuan bimbingan teratur meski di tengah kesibukan rotasi, karena komunikasi konsisten mencegah kesalahan arah yang baru terdeteksi menjelang tenggat.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Kriteria Penilaian</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Yang Dinilai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Rumusan masalah</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Kejelasan dan relevansi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Metodologi</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Ketepatan pemilihan metode</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Analisis &amp; pembahasan</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Kedalaman interpretasi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Penulisan akademik</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Kualitas bahasa dan struktur</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Orisinalitas</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Kontribusi terhadap pemahaman Kedokteran Haji, meski skala mini-riset</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Format, Presentasi, dan Diseminasi Hasil</w:t>
      </w:r>
    </w:p>
    <w:p>
      <w:pPr>
        <w:spacing w:after="160" w:line="300"/>
      </w:pPr>
      <w:r>
        <w:rPr>
          <w:rFonts w:ascii="Calibri" w:cs="Calibri" w:eastAsia="Calibri" w:hAnsi="Calibri"/>
          <w:color w:val="17251F"/>
          <w:sz w:val="22"/>
          <w:szCs w:val="22"/>
        </w:rPr>
        <w:t xml:space="preserve">Format penulisan dan sitasi umumnya mengikuti standar karya ilmiah kedokteran yang berlaku di institusi, misalnya gaya Vancouver. Konfirmasi format spesifik sejak awal penyusunan agar tidak perlu penyesuaian besar menjelang tenggat. Presentasi hasil memerlukan latihan menyampaikan temuan ringkas dalam waktu terbatas, mengantisipasi pertanyaan kritis metodologi, dan menunjukkan pemahaman matang mengenai keterbatasan studi. Setelah lulus, pertimbangkan diseminasi lebih lanjut melalui forum ilmiah mahasiswa kedokteran atau berbagi temuan kepada tim TKHI.</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Menghadapi Pertanyaan Sulit Penguji</w:t>
            </w:r>
          </w:p>
          <w:p>
            <w:pPr>
              <w:spacing w:after="0" w:line="280"/>
            </w:pPr>
            <w:r>
              <w:rPr>
                <w:rFonts w:ascii="Calibri" w:cs="Calibri" w:eastAsia="Calibri" w:hAnsi="Calibri"/>
                <w:b w:val="false"/>
                <w:bCs w:val="false"/>
                <w:color w:val="17251F"/>
                <w:sz w:val="21"/>
                <w:szCs w:val="21"/>
              </w:rPr>
              <w:t xml:space="preserve">Seorang mahasiswa yang gugup menghadapi sesi ujian capstone mempersiapkan diri dengan berlatih menjawab pertanyaan tersulit yang mungkin diajukan: "Kenapa sampel Anda hanya 20 orang?" Alih-alih defensif, ia menyiapkan jawaban jujur: mengakui keterbatasan waktu masa coass sebagai alasan skala kecil, namun menjelaskan bagaimana temuannya tetap memberi wawasan awal berguna dan dapat menjadi dasar studi lanjutan berskala lebih besar.</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Mengapa jawaban jujur mengenai keterbatasan studi justru dapat meningkatkan kepercayaan penguji, dibandingkan jawaban defensif?</w:t>
      </w:r>
    </w:p>
    <w:p>
      <w:pPr>
        <w:pStyle w:val="ListParagraph"/>
        <w:numPr>
          <w:ilvl w:val="0"/>
          <w:numId w:val="2"/>
        </w:numPr>
        <w:spacing w:after="100" w:line="280"/>
      </w:pPr>
      <w:r>
        <w:rPr>
          <w:rFonts w:ascii="Calibri" w:cs="Calibri" w:eastAsia="Calibri" w:hAnsi="Calibri"/>
          <w:color w:val="17251F"/>
          <w:sz w:val="22"/>
          <w:szCs w:val="22"/>
        </w:rPr>
        <w:t xml:space="preserve">Bagaimana Anda akan menyusun jawaban serupa untuk keterbatasan metodologis lain yang mungkin muncul pada capstone Anda sendiri?</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D2 — Kedokteran Haji untuk Dokter Muda, Bab 7. [Sumber internal ekosistem].</w:t>
      </w:r>
    </w:p>
    <w:p>
      <w:pPr>
        <w:spacing w:after="140" w:line="280"/>
        <w:ind w:left="431" w:hanging="431"/>
      </w:pPr>
      <w:r>
        <w:rPr>
          <w:rFonts w:ascii="Calibri" w:cs="Calibri" w:eastAsia="Calibri" w:hAnsi="Calibri"/>
          <w:color w:val="17251F"/>
          <w:sz w:val="20"/>
          <w:szCs w:val="20"/>
        </w:rPr>
        <w:t xml:space="preserve">2. International Committee of Medical Journal Editors. Recommendations for the Conduct, Reporting, Editing, and Publication of Scholarly Work in Medical Journals. Available from: https://www.icmje.org/recommendations/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2026-07-15T19:31:03.937Z</dcterms:created>
  <dcterms:modified xsi:type="dcterms:W3CDTF">2026-07-15T19:31:03.938Z</dcterms:modified>
</cp:coreProperties>
</file>

<file path=docProps/custom.xml><?xml version="1.0" encoding="utf-8"?>
<Properties xmlns="http://schemas.openxmlformats.org/officeDocument/2006/custom-properties" xmlns:vt="http://schemas.openxmlformats.org/officeDocument/2006/docPropsVTypes"/>
</file>