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6: Pengenalan Metodologi Mini-Riset dan Studi Kasus Terstruktur</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perbedaan skala, kedalaman, dan durasi antara mini-riset Jalur D dan tesis riset penuh gaya magister.</w:t>
      </w:r>
    </w:p>
    <w:p>
      <w:pPr>
        <w:pStyle w:val="ListParagraph"/>
        <w:numPr>
          <w:ilvl w:val="0"/>
          <w:numId w:val="2"/>
        </w:numPr>
        <w:spacing w:after="100" w:line="280"/>
      </w:pPr>
      <w:r>
        <w:rPr>
          <w:rFonts w:ascii="Calibri" w:cs="Calibri" w:eastAsia="Calibri" w:hAnsi="Calibri"/>
          <w:color w:val="17251F"/>
          <w:sz w:val="22"/>
          <w:szCs w:val="22"/>
        </w:rPr>
        <w:t xml:space="preserve">Menguraikan tiga pendekatan metodologis yang sesuai untuk keterbatasan waktu dan akses data coass.</w:t>
      </w:r>
    </w:p>
    <w:p>
      <w:pPr>
        <w:pStyle w:val="ListParagraph"/>
        <w:numPr>
          <w:ilvl w:val="0"/>
          <w:numId w:val="2"/>
        </w:numPr>
        <w:spacing w:after="100" w:line="280"/>
      </w:pPr>
      <w:r>
        <w:rPr>
          <w:rFonts w:ascii="Calibri" w:cs="Calibri" w:eastAsia="Calibri" w:hAnsi="Calibri"/>
          <w:color w:val="17251F"/>
          <w:sz w:val="22"/>
          <w:szCs w:val="22"/>
        </w:rPr>
        <w:t xml:space="preserve">Menyebutkan prinsip metodologis dasar yang tetap wajib dipenuhi tanpa kompromi, apa pun skala studinya.</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Meyakini bahwa skala studi yang lebih kecil bukan berarti standar metodologis yang lebih longgar.</w:t>
      </w:r>
    </w:p>
    <w:p>
      <w:pPr>
        <w:pStyle w:val="ListParagraph"/>
        <w:numPr>
          <w:ilvl w:val="0"/>
          <w:numId w:val="2"/>
        </w:numPr>
        <w:spacing w:after="100" w:line="280"/>
      </w:pPr>
      <w:r>
        <w:rPr>
          <w:rFonts w:ascii="Calibri" w:cs="Calibri" w:eastAsia="Calibri" w:hAnsi="Calibri"/>
          <w:color w:val="17251F"/>
          <w:sz w:val="22"/>
          <w:szCs w:val="22"/>
        </w:rPr>
        <w:t xml:space="preserve">Menghargai kejujuran dan transparansi pelaporan keterbatasan studi sebagai bagian dari integritas akademik.</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kemampuan memilih pendekatan metodologis yang realistis berdasarkan akses data dan waktu yang tersedia.</w:t>
      </w:r>
    </w:p>
    <w:p>
      <w:pPr>
        <w:pStyle w:val="ListParagraph"/>
        <w:numPr>
          <w:ilvl w:val="0"/>
          <w:numId w:val="2"/>
        </w:numPr>
        <w:spacing w:after="100" w:line="280"/>
      </w:pPr>
      <w:r>
        <w:rPr>
          <w:rFonts w:ascii="Calibri" w:cs="Calibri" w:eastAsia="Calibri" w:hAnsi="Calibri"/>
          <w:color w:val="17251F"/>
          <w:sz w:val="22"/>
          <w:szCs w:val="22"/>
        </w:rPr>
        <w:t xml:space="preserve">Menyusun rancangan awal (outline) topik mini-riset yang layak diselesaikan dalam masa coass.</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Bagi mahasiswa Joint Degree, capstone akhir program bukan tesis riset penuh sebagaimana lazimnya jenjang magister, melainkan mini-riset atau studi kasus terstruktur yang realistis diselesaikan dalam keterbatasan waktu masa coass. Memahami metodologi dasar ini sejak dini penting agar mahasiswa tidak salah memilih topik atau pendekatan yang mustahil diselesaikan tepat waktu, sekaligus tetap menjaga standar akademik yang layak.</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Mini-Riset versus Tesis Riset Penuh</w:t>
      </w:r>
    </w:p>
    <w:p>
      <w:pPr>
        <w:spacing w:after="160" w:line="300"/>
      </w:pPr>
      <w:r>
        <w:rPr>
          <w:rFonts w:ascii="Calibri" w:cs="Calibri" w:eastAsia="Calibri" w:hAnsi="Calibri"/>
          <w:color w:val="17251F"/>
          <w:sz w:val="22"/>
          <w:szCs w:val="22"/>
        </w:rPr>
        <w:t xml:space="preserve">Perbedaan mendasar terletak pada skala, kedalaman, dan durasi pengerjaan — bukan soal 'kualitas lebih rendah', melainkan penyesuaian terhadap realitas waktu yang tersedia. Tesis riset penuh gaya magister menuntut pengumpulan data primer skala besar, analisis statistik kompleks, dan durasi setahun atau lebih. Mini-riset Jalur D dirancang selesai dalam beberapa bulan yang berjalan paralel dengan rotasi klinis, dengan skala terbatas namun tetap memenuhi standar metodologis dasar yang layak secara akademik.</w:t>
      </w:r>
    </w:p>
    <w:p>
      <w:pPr>
        <w:pStyle w:val="Heading3"/>
        <w:spacing w:after="120" w:before="260"/>
      </w:pPr>
      <w:r>
        <w:rPr>
          <w:rFonts w:ascii="Cambria" w:cs="Cambria" w:eastAsia="Cambria" w:hAnsi="Cambria"/>
          <w:b/>
          <w:bCs/>
          <w:color w:val="123D33"/>
          <w:sz w:val="24"/>
          <w:szCs w:val="24"/>
        </w:rPr>
        <w:t xml:space="preserve">2. Tiga Pendekatan Metodologis yang Sesuai untuk Coass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Pendekatan</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Deskripsi Singkat</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Cocok Bila</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Laporan kasus klinis mendalam</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Mendokumentasikan rinci satu/beberapa kasus menarik yang dijumpai selama rotasi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Menemukan kasus komorbid kompleks yang relevan haji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Analisis data sekunder</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Memanfaatkan data yang sudah tersedia (kunjungan pasien, hasil istithaah) untuk analisis deskriptif/analitik sederhana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Tidak punya akses lapangan haji langsung</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Evaluasi program skala kecil</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Mengevaluasi efektivitas modul edukasi kesehatan haji pada kelompok kecil calon jemaah</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Berada di wilayah dengan kegiatan manasik kesehatan aktif</w:t>
            </w:r>
          </w:p>
        </w:tc>
      </w:tr>
    </w:tbl>
    <w:p>
      <w:pPr>
        <w:spacing w:after="200"/>
      </w:pPr>
      <w:r>
        <w:rPr>
          <w:rFonts w:ascii="Calibri" w:cs="Calibri" w:eastAsia="Calibri" w:hAnsi="Calibri"/>
          <w:color w:val="17251F"/>
          <w:sz w:val="22"/>
          <w:szCs w:val="22"/>
        </w:rPr>
        <w:t xml:space="preserve"/>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Ilustrasi pemilihan pendekatan</w:t>
            </w:r>
          </w:p>
          <w:p>
            <w:pPr>
              <w:spacing w:after="0" w:line="280"/>
            </w:pPr>
            <w:r>
              <w:rPr>
                <w:rFonts w:ascii="Calibri" w:cs="Calibri" w:eastAsia="Calibri" w:hAnsi="Calibri"/>
                <w:b w:val="false"/>
                <w:bCs w:val="false"/>
                <w:color w:val="17251F"/>
                <w:sz w:val="21"/>
                <w:szCs w:val="21"/>
              </w:rPr>
              <w:t xml:space="preserve">Mahasiswa yang tertarik pada topik kegawatan panas namun tidak punya akses lapangan haji memilih analisis data sekunder: menganalisis data kunjungan pasien di puskesmas embarkasi tempatnya menjalani stase IKM, fokus pada pola kunjungan terkait dehidrasi pada periode pemeriksaan kesehatan calon jemaah.</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Prinsip Dasar yang Tetap Wajib Dipenuhi</w:t>
      </w:r>
    </w:p>
    <w:p>
      <w:pPr>
        <w:pStyle w:val="ListParagraph"/>
        <w:numPr>
          <w:ilvl w:val="0"/>
          <w:numId w:val="2"/>
        </w:numPr>
        <w:spacing w:after="100" w:line="280"/>
      </w:pPr>
      <w:r>
        <w:rPr>
          <w:rFonts w:ascii="Calibri" w:cs="Calibri" w:eastAsia="Calibri" w:hAnsi="Calibri"/>
          <w:color w:val="17251F"/>
          <w:sz w:val="22"/>
          <w:szCs w:val="22"/>
        </w:rPr>
        <w:t xml:space="preserve">Kejelasan pertanyaan penelitian atau tujuan studi kasus.</w:t>
      </w:r>
    </w:p>
    <w:p>
      <w:pPr>
        <w:pStyle w:val="ListParagraph"/>
        <w:numPr>
          <w:ilvl w:val="0"/>
          <w:numId w:val="2"/>
        </w:numPr>
        <w:spacing w:after="100" w:line="280"/>
      </w:pPr>
      <w:r>
        <w:rPr>
          <w:rFonts w:ascii="Calibri" w:cs="Calibri" w:eastAsia="Calibri" w:hAnsi="Calibri"/>
          <w:color w:val="17251F"/>
          <w:sz w:val="22"/>
          <w:szCs w:val="22"/>
        </w:rPr>
        <w:t xml:space="preserve">Ketepatan metode yang dipilih untuk menjawab pertanyaan tersebut.</w:t>
      </w:r>
    </w:p>
    <w:p>
      <w:pPr>
        <w:pStyle w:val="ListParagraph"/>
        <w:numPr>
          <w:ilvl w:val="0"/>
          <w:numId w:val="2"/>
        </w:numPr>
        <w:spacing w:after="100" w:line="280"/>
      </w:pPr>
      <w:r>
        <w:rPr>
          <w:rFonts w:ascii="Calibri" w:cs="Calibri" w:eastAsia="Calibri" w:hAnsi="Calibri"/>
          <w:color w:val="17251F"/>
          <w:sz w:val="22"/>
          <w:szCs w:val="22"/>
        </w:rPr>
        <w:t xml:space="preserve">Kejujuran dan transparansi pelaporan data, termasuk keterbatasan studi.</w:t>
      </w:r>
    </w:p>
    <w:p>
      <w:pPr>
        <w:pStyle w:val="ListParagraph"/>
        <w:numPr>
          <w:ilvl w:val="0"/>
          <w:numId w:val="2"/>
        </w:numPr>
        <w:spacing w:after="100" w:line="280"/>
      </w:pPr>
      <w:r>
        <w:rPr>
          <w:rFonts w:ascii="Calibri" w:cs="Calibri" w:eastAsia="Calibri" w:hAnsi="Calibri"/>
          <w:color w:val="17251F"/>
          <w:sz w:val="22"/>
          <w:szCs w:val="22"/>
        </w:rPr>
        <w:t xml:space="preserve">Kepatuhan terhadap etika penelitian — persetujuan diinformasikan bila melibatkan subjek manusia, kerahasiaan data pasien.</w:t>
      </w:r>
    </w:p>
    <w:p>
      <w:pPr>
        <w:spacing w:after="160" w:line="300"/>
      </w:pPr>
      <w:r>
        <w:rPr>
          <w:rFonts w:ascii="Calibri" w:cs="Calibri" w:eastAsia="Calibri" w:hAnsi="Calibri"/>
          <w:color w:val="17251F"/>
          <w:sz w:val="22"/>
          <w:szCs w:val="22"/>
        </w:rPr>
        <w:t xml:space="preserve">Contoh topik mini-riset yang realistis: analisis pola kunjungan pasien terkait kegawatan panas, evaluasi tingkat pengetahuan calon jemaah sebelum-sesudah edukasi manasik kesehatan, atau laporan kasus mendalam mengenai satu pasien dengan komorbid kronik kompleks — ketiganya akan dibahas lebih detail pada buku D4.</w:t>
      </w:r>
    </w:p>
    <w:p>
      <w:pPr>
        <w:pStyle w:val="Heading3"/>
        <w:spacing w:after="120" w:before="260"/>
      </w:pPr>
      <w:r>
        <w:rPr>
          <w:rFonts w:ascii="Cambria" w:cs="Cambria" w:eastAsia="Cambria" w:hAnsi="Cambria"/>
          <w:b/>
          <w:bCs/>
          <w:color w:val="123D33"/>
          <w:sz w:val="24"/>
          <w:szCs w:val="24"/>
        </w:rPr>
        <w:t xml:space="preserve">4. Strategi Praktis: Waktu, Etika, dan Kolaborasi</w:t>
      </w:r>
    </w:p>
    <w:p>
      <w:pPr>
        <w:spacing w:after="160" w:line="300"/>
      </w:pPr>
      <w:r>
        <w:rPr>
          <w:rFonts w:ascii="Calibri" w:cs="Calibri" w:eastAsia="Calibri" w:hAnsi="Calibri"/>
          <w:color w:val="17251F"/>
          <w:sz w:val="22"/>
          <w:szCs w:val="22"/>
        </w:rPr>
        <w:t xml:space="preserve">Pemilihan topik idealnya mempertimbangkan ketersediaan data/akses lapangan realistis, relevansi dengan minat karier, dan ketersediaan pembimbing kompeten. Strategi mengatasi keterbatasan waktu: memilih topik yang dapat dikerjakan bertahap dan fleksibel, memanfaatkan periode antar-stase untuk pengumpulan/analisis data, serta menjaga komunikasi teratur dengan pembimbing. Prosedur kelaikan etik tetap wajib dipahami meski skala mini-riset relatif kecil. Kolaborasi antar-mahasiswa dalam diskusi kelompok kecil membantu mengidentifikasi kelemahan metodologis sejak dini.</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Menjaga Momentum di Tengah Rotasi</w:t>
            </w:r>
          </w:p>
          <w:p>
            <w:pPr>
              <w:spacing w:after="0" w:line="280"/>
            </w:pPr>
            <w:r>
              <w:rPr>
                <w:rFonts w:ascii="Calibri" w:cs="Calibri" w:eastAsia="Calibri" w:hAnsi="Calibri"/>
                <w:b w:val="false"/>
                <w:bCs w:val="false"/>
                <w:color w:val="17251F"/>
                <w:sz w:val="21"/>
                <w:szCs w:val="21"/>
              </w:rPr>
              <w:t xml:space="preserve">Seorang mahasiswa kesulitan menemukan waktu mengerjakan capstone di tengah rotasi yang padat. Ia memutuskan mengalokasikan satu jam setiap Jumat sore — waktu yang relatif lebih longgar di stasenya saat itu — khusus untuk kemajuan capstone, dan menjadwalkan pertemuan singkat dengan pembimbing setiap dua minggu untuk melaporkan progres.</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Mengapa strategi konsisten dalam porsi kecil terbukti lebih efektif dibandingkan menunggu waktu luang besar yang jarang datang?</w:t>
      </w:r>
    </w:p>
    <w:p>
      <w:pPr>
        <w:pStyle w:val="ListParagraph"/>
        <w:numPr>
          <w:ilvl w:val="0"/>
          <w:numId w:val="2"/>
        </w:numPr>
        <w:spacing w:after="100" w:line="280"/>
      </w:pPr>
      <w:r>
        <w:rPr>
          <w:rFonts w:ascii="Calibri" w:cs="Calibri" w:eastAsia="Calibri" w:hAnsi="Calibri"/>
          <w:color w:val="17251F"/>
          <w:sz w:val="22"/>
          <w:szCs w:val="22"/>
        </w:rPr>
        <w:t xml:space="preserve">Pendekatan metodologis mana (dari tiga yang dibahas) yang paling sesuai dengan situasi rotasi Anda saat ini, dan mengapa?</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D2 — Kedokteran Haji untuk Dokter Muda, Bab 6. [Sumber internal ekosistem].</w:t>
      </w:r>
    </w:p>
    <w:p>
      <w:pPr>
        <w:spacing w:after="140" w:line="280"/>
        <w:ind w:left="431" w:hanging="431"/>
      </w:pPr>
      <w:r>
        <w:rPr>
          <w:rFonts w:ascii="Calibri" w:cs="Calibri" w:eastAsia="Calibri" w:hAnsi="Calibri"/>
          <w:color w:val="17251F"/>
          <w:sz w:val="20"/>
          <w:szCs w:val="20"/>
        </w:rPr>
        <w:t xml:space="preserve">2. Sandelowski M. Whatever happened to qualitative description? Res Nurs Health. 2000;23(4):334-340. Available from: https://doi.org/10.1002/1098-240X(200008)23:4%3C334::AID-NUR9%3E3.0.CO;2-G</w:t>
      </w:r>
    </w:p>
    <w:p>
      <w:pPr>
        <w:spacing w:after="140" w:line="280"/>
        <w:ind w:left="431" w:hanging="431"/>
      </w:pPr>
      <w:r>
        <w:rPr>
          <w:rFonts w:ascii="Calibri" w:cs="Calibri" w:eastAsia="Calibri" w:hAnsi="Calibri"/>
          <w:color w:val="17251F"/>
          <w:sz w:val="20"/>
          <w:szCs w:val="20"/>
        </w:rPr>
        <w:t xml:space="preserve">3. Yin RK. Case Study Research and Applications: Design and Methods. 6th ed. Thousand Oaks, CA: SAGE Publications; 2018.</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2026-07-15T19:31:03.823Z</dcterms:created>
  <dcterms:modified xsi:type="dcterms:W3CDTF">2026-07-15T19:31:03.823Z</dcterms:modified>
</cp:coreProperties>
</file>

<file path=docProps/custom.xml><?xml version="1.0" encoding="utf-8"?>
<Properties xmlns="http://schemas.openxmlformats.org/officeDocument/2006/custom-properties" xmlns:vt="http://schemas.openxmlformats.org/officeDocument/2006/docPropsVTypes"/>
</file>