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MK-D02 — Kedokteran Haji untuk Dokter Muda (Buku Utama Joint Degree)</w:t>
      </w:r>
    </w:p>
    <w:p>
      <w:pPr>
        <w:spacing w:after="300"/>
      </w:pPr>
      <w:r>
        <w:rPr>
          <w:rFonts w:ascii="Cambria" w:cs="Cambria" w:eastAsia="Cambria" w:hAnsi="Cambria"/>
          <w:b/>
          <w:bCs/>
          <w:color w:val="123D33"/>
          <w:sz w:val="40"/>
          <w:szCs w:val="40"/>
        </w:rPr>
        <w:t xml:space="preserve">Modul 5: Dasar Epidemiologi dan Kebijakan Haji untuk Calon Dokter</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pola epidemiologi dasar morbiditas dan mortalitas jemaah haji sebagai bekal menyusun ekspektasi tugas TKHI.</w:t>
      </w:r>
    </w:p>
    <w:p>
      <w:pPr>
        <w:pStyle w:val="ListParagraph"/>
        <w:numPr>
          <w:ilvl w:val="0"/>
          <w:numId w:val="2"/>
        </w:numPr>
        <w:spacing w:after="100" w:line="280"/>
      </w:pPr>
      <w:r>
        <w:rPr>
          <w:rFonts w:ascii="Calibri" w:cs="Calibri" w:eastAsia="Calibri" w:hAnsi="Calibri"/>
          <w:color w:val="17251F"/>
          <w:sz w:val="22"/>
          <w:szCs w:val="22"/>
        </w:rPr>
        <w:t xml:space="preserve">Menguraikan sifat dinamis kebijakan kesehatan haji dan keterkaitannya dengan regulasi kesehatan global (IHR).</w:t>
      </w:r>
    </w:p>
    <w:p>
      <w:pPr>
        <w:pStyle w:val="ListParagraph"/>
        <w:numPr>
          <w:ilvl w:val="0"/>
          <w:numId w:val="2"/>
        </w:numPr>
        <w:spacing w:after="100" w:line="280"/>
      </w:pPr>
      <w:r>
        <w:rPr>
          <w:rFonts w:ascii="Calibri" w:cs="Calibri" w:eastAsia="Calibri" w:hAnsi="Calibri"/>
          <w:color w:val="17251F"/>
          <w:sz w:val="22"/>
          <w:szCs w:val="22"/>
        </w:rPr>
        <w:t xml:space="preserve">Menjelaskan pentingnya berpikir kritis dalam membaca data epidemiologi dan literatur kebijakan haji.</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Bersikap skeptis secara sehat terhadap klaim data dan kebijakan yang belum diverifikasi sumbernya.</w:t>
      </w:r>
    </w:p>
    <w:p>
      <w:pPr>
        <w:pStyle w:val="ListParagraph"/>
        <w:numPr>
          <w:ilvl w:val="0"/>
          <w:numId w:val="2"/>
        </w:numPr>
        <w:spacing w:after="100" w:line="280"/>
      </w:pPr>
      <w:r>
        <w:rPr>
          <w:rFonts w:ascii="Calibri" w:cs="Calibri" w:eastAsia="Calibri" w:hAnsi="Calibri"/>
          <w:color w:val="17251F"/>
          <w:sz w:val="22"/>
          <w:szCs w:val="22"/>
        </w:rPr>
        <w:t xml:space="preserve">Menunjukkan tanggung jawab untuk berkontribusi pada siklus evaluasi kebijakan melalui pelaporan temuan lapangan.</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Mendemonstrasikan kemampuan menyusun laporan surveilans sederhana berdasarkan skenario kasus terkait haji.</w:t>
      </w:r>
    </w:p>
    <w:p>
      <w:pPr>
        <w:pStyle w:val="ListParagraph"/>
        <w:numPr>
          <w:ilvl w:val="0"/>
          <w:numId w:val="2"/>
        </w:numPr>
        <w:spacing w:after="100" w:line="280"/>
      </w:pPr>
      <w:r>
        <w:rPr>
          <w:rFonts w:ascii="Calibri" w:cs="Calibri" w:eastAsia="Calibri" w:hAnsi="Calibri"/>
          <w:color w:val="17251F"/>
          <w:sz w:val="22"/>
          <w:szCs w:val="22"/>
        </w:rPr>
        <w:t xml:space="preserve">Mempraktikkan penerapan kerangka istithaah kesehatan secara konsisten dalam simulasi pemeriksaan pra-keberangkatan.</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ini melengkapi fondasi epidemiologi dasar dan pemahaman sistem penyelenggaraan yang telah dibangun pada Modul Inti, dengan penekanan pada manfaat langsung bagi dokter muda dalam praktik klinis maupun perannya kelak sebagai bagian dari sistem penyelenggaraan kesehatan haji — baik sebagai TKHI, dokter puskesmas yang melakukan pemeriksaan istithaah, maupun kontributor evaluasi kebijakan.</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Epidemiologi dan Istithaah sebagai Bekal Praktis Bertugas</w:t>
      </w:r>
    </w:p>
    <w:p>
      <w:pPr>
        <w:spacing w:after="160" w:line="300"/>
      </w:pPr>
      <w:r>
        <w:rPr>
          <w:rFonts w:ascii="Calibri" w:cs="Calibri" w:eastAsia="Calibri" w:hAnsi="Calibri"/>
          <w:color w:val="17251F"/>
          <w:sz w:val="22"/>
          <w:szCs w:val="22"/>
        </w:rPr>
        <w:t xml:space="preserve">Pengetahuan bahwa penyakit kardiovaskular dan pernapasan merupakan penyebab morbiditas-mortalitas terbanyak, bahwa insiden kegawatan meningkat pada periode puncak ibadah, dan bahwa jemaah lanjut usia adalah kelompok berisiko tertinggi, membantu dokter muda menyusun ekspektasi realistis mengenai jenis kasus yang mungkin dihadapi.</w:t>
      </w:r>
    </w:p>
    <w:p>
      <w:pPr>
        <w:spacing w:after="160" w:line="300"/>
      </w:pPr>
      <w:r>
        <w:rPr>
          <w:rFonts w:ascii="Calibri" w:cs="Calibri" w:eastAsia="Calibri" w:hAnsi="Calibri"/>
          <w:color w:val="17251F"/>
          <w:sz w:val="22"/>
          <w:szCs w:val="22"/>
        </w:rPr>
        <w:t xml:space="preserve">Pemahaman kerangka konsep istithaah kesehatan sejak masa pendidikan bermanfaat langsung bagi calon dokter yang kelak terlibat dalam pemeriksaan kesehatan pra-keberangkatan di FKTP — memberi kesiapan mengambil peran ini dengan percaya diri dan konsistensi klinis.</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Keterkaitan dengan rotasi klinis</w:t>
            </w:r>
          </w:p>
          <w:p>
            <w:pPr>
              <w:spacing w:after="0" w:line="280"/>
            </w:pPr>
            <w:r>
              <w:rPr>
                <w:rFonts w:ascii="Calibri" w:cs="Calibri" w:eastAsia="Calibri" w:hAnsi="Calibri"/>
                <w:b w:val="false"/>
                <w:bCs w:val="false"/>
                <w:color w:val="17251F"/>
                <w:sz w:val="21"/>
                <w:szCs w:val="21"/>
              </w:rPr>
              <w:t xml:space="preserve">Pada stase Ilmu Kesehatan Masyarakat (IKM), coass mempelajari epidemiologi deskriptif dan analitik yang dapat langsung diterapkan untuk menginterpretasikan data kesehatan haji, termasuk latihan menyusun laporan surveilans sederhana.</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Kedokteran Haji dalam Konteks Global dan Kebijakan yang Terus Berubah</w:t>
      </w:r>
    </w:p>
    <w:p>
      <w:pPr>
        <w:spacing w:after="160" w:line="300"/>
      </w:pPr>
      <w:r>
        <w:rPr>
          <w:rFonts w:ascii="Calibri" w:cs="Calibri" w:eastAsia="Calibri" w:hAnsi="Calibri"/>
          <w:color w:val="17251F"/>
          <w:sz w:val="22"/>
          <w:szCs w:val="22"/>
        </w:rPr>
        <w:t xml:space="preserve">Kebijakan kesehatan haji — kriteria istithaah, daftar vaksinasi wajib, protokol kesiapsiagaan kegawatan — bukan aturan statis, melainkan terus diperbarui berdasarkan evaluasi pascamusim haji dan perkembangan epidemiologi global. [DATA: rujuk sumber resmi terbaru untuk kebijakan dan regulasi kesehatan haji yang berlaku pada musim terkini].</w:t>
      </w:r>
    </w:p>
    <w:p>
      <w:pPr>
        <w:spacing w:after="160" w:line="300"/>
      </w:pPr>
      <w:r>
        <w:rPr>
          <w:rFonts w:ascii="Calibri" w:cs="Calibri" w:eastAsia="Calibri" w:hAnsi="Calibri"/>
          <w:color w:val="17251F"/>
          <w:sz w:val="22"/>
          <w:szCs w:val="22"/>
        </w:rPr>
        <w:t xml:space="preserve">Pemahaman dasar mengenai International Health Regulations (IHR) bermanfaat untuk memahami posisi kebijakan kesehatan haji Indonesia dalam konteks kesehatan masyarakat global yang lebih luas. Peran dokter muda tidak berhenti pada implementasi semata — pengalaman langsung sebagai TKHI yang menemui kesenjangan antara kebijakan tertulis dan realitas lapangan adalah sumber wawasan berharga bagi penyempurnaan kebijakan musim berikutnya, bila dikomunikasikan melalui jalur resmi.</w:t>
      </w:r>
    </w:p>
    <w:p>
      <w:pPr>
        <w:pStyle w:val="Heading3"/>
        <w:spacing w:after="120" w:before="260"/>
      </w:pPr>
      <w:r>
        <w:rPr>
          <w:rFonts w:ascii="Cambria" w:cs="Cambria" w:eastAsia="Cambria" w:hAnsi="Cambria"/>
          <w:b/>
          <w:bCs/>
          <w:color w:val="123D33"/>
          <w:sz w:val="24"/>
          <w:szCs w:val="24"/>
        </w:rPr>
        <w:t xml:space="preserve">3. Keterampilan Berpikir Kritis dalam Membaca Data dan Literatur</w:t>
      </w:r>
    </w:p>
    <w:p>
      <w:pPr>
        <w:pStyle w:val="ListParagraph"/>
        <w:numPr>
          <w:ilvl w:val="0"/>
          <w:numId w:val="2"/>
        </w:numPr>
        <w:spacing w:after="100" w:line="280"/>
      </w:pPr>
      <w:r>
        <w:rPr>
          <w:rFonts w:ascii="Calibri" w:cs="Calibri" w:eastAsia="Calibri" w:hAnsi="Calibri"/>
          <w:color w:val="17251F"/>
          <w:sz w:val="22"/>
          <w:szCs w:val="22"/>
        </w:rPr>
        <w:t xml:space="preserve">Memahami perbedaan data insidensi dan prevalensi.</w:t>
      </w:r>
    </w:p>
    <w:p>
      <w:pPr>
        <w:pStyle w:val="ListParagraph"/>
        <w:numPr>
          <w:ilvl w:val="0"/>
          <w:numId w:val="2"/>
        </w:numPr>
        <w:spacing w:after="100" w:line="280"/>
      </w:pPr>
      <w:r>
        <w:rPr>
          <w:rFonts w:ascii="Calibri" w:cs="Calibri" w:eastAsia="Calibri" w:hAnsi="Calibri"/>
          <w:color w:val="17251F"/>
          <w:sz w:val="22"/>
          <w:szCs w:val="22"/>
        </w:rPr>
        <w:t xml:space="preserve">Berhati-hati menginterpretasikan tren tahun-ke-tahun, mengingat perubahan jumlah jemaah, cuaca, dan sistem pencatatan dapat memengaruhi angka tanpa mencerminkan perubahan risiko sesungguhnya.</w:t>
      </w:r>
    </w:p>
    <w:p>
      <w:pPr>
        <w:pStyle w:val="ListParagraph"/>
        <w:numPr>
          <w:ilvl w:val="0"/>
          <w:numId w:val="2"/>
        </w:numPr>
        <w:spacing w:after="100" w:line="280"/>
      </w:pPr>
      <w:r>
        <w:rPr>
          <w:rFonts w:ascii="Calibri" w:cs="Calibri" w:eastAsia="Calibri" w:hAnsi="Calibri"/>
          <w:color w:val="17251F"/>
          <w:sz w:val="22"/>
          <w:szCs w:val="22"/>
        </w:rPr>
        <w:t xml:space="preserve">Membedakan opini dari temuan berbasis bukti saat membaca laporan kebijakan dan publikasi ilmiah.</w:t>
      </w:r>
    </w:p>
    <w:p>
      <w:pPr>
        <w:pStyle w:val="ListParagraph"/>
        <w:numPr>
          <w:ilvl w:val="0"/>
          <w:numId w:val="2"/>
        </w:numPr>
        <w:spacing w:after="100" w:line="280"/>
      </w:pPr>
      <w:r>
        <w:rPr>
          <w:rFonts w:ascii="Calibri" w:cs="Calibri" w:eastAsia="Calibri" w:hAnsi="Calibri"/>
          <w:color w:val="17251F"/>
          <w:sz w:val="22"/>
          <w:szCs w:val="22"/>
        </w:rPr>
        <w:t xml:space="preserve">Membiasakan diri menelusuri sumber ilmiah kredibel sebagai bekal menyusun capstone mini-riset (Bab 6–7).</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Bertugas Tanpa Pembekalan Khusus</w:t>
            </w:r>
          </w:p>
          <w:p>
            <w:pPr>
              <w:spacing w:after="80" w:line="280"/>
            </w:pPr>
            <w:r>
              <w:rPr>
                <w:rFonts w:ascii="Calibri" w:cs="Calibri" w:eastAsia="Calibri" w:hAnsi="Calibri"/>
                <w:b w:val="false"/>
                <w:bCs w:val="false"/>
                <w:color w:val="17251F"/>
                <w:sz w:val="21"/>
                <w:szCs w:val="21"/>
              </w:rPr>
              <w:t xml:space="preserve">Seorang dokter muda yang baru lulus dan ditugaskan sebagai dokter puskesmas di wilayah dengan banyak calon jemaah haji langsung dihadapkan pada tugas pemeriksaan istithaah kesehatan tanpa pembekalan khusus. Karena telah mempelajari kerangka istithaah sejak Modul Inti, ia mampu menerapkan kategori kelaikan dengan konsisten sejak hari pertama bertugas.</w:t>
            </w:r>
          </w:p>
          <w:p>
            <w:pPr>
              <w:spacing w:after="0" w:line="280"/>
            </w:pPr>
            <w:r>
              <w:rPr>
                <w:rFonts w:ascii="Calibri" w:cs="Calibri" w:eastAsia="Calibri" w:hAnsi="Calibri"/>
                <w:b w:val="false"/>
                <w:bCs w:val="false"/>
                <w:color w:val="17251F"/>
                <w:sz w:val="21"/>
                <w:szCs w:val="21"/>
              </w:rPr>
              <w:t xml:space="preserve">Beberapa bulan kemudian, dokter tersebut menyadari bahwa jumlah cairan infus yang dialokasikan untuk kloter dengan proporsi jemaah lanjut usia tinggi ternyata kurang memadai dibanding perkiraan protokol.</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Bagaimana pemahaman epidemiologi dasar membantu dokter ini bertugas dengan percaya diri sejak hari pertama?</w:t>
      </w:r>
    </w:p>
    <w:p>
      <w:pPr>
        <w:pStyle w:val="ListParagraph"/>
        <w:numPr>
          <w:ilvl w:val="0"/>
          <w:numId w:val="2"/>
        </w:numPr>
        <w:spacing w:after="100" w:line="280"/>
      </w:pPr>
      <w:r>
        <w:rPr>
          <w:rFonts w:ascii="Calibri" w:cs="Calibri" w:eastAsia="Calibri" w:hAnsi="Calibri"/>
          <w:color w:val="17251F"/>
          <w:sz w:val="22"/>
          <w:szCs w:val="22"/>
        </w:rPr>
        <w:t xml:space="preserve">Langkah apa yang sebaiknya diambil dokter ini terhadap temuan mengenai kekurangan alokasi cairan infus, dan mengapa langkah tersebut penting bagi siklus kebijakan?</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D2 — Kedokteran Haji untuk Dokter Muda, Bab 5. [Sumber internal ekosistem].</w:t>
      </w:r>
    </w:p>
    <w:p>
      <w:pPr>
        <w:spacing w:after="140" w:line="280"/>
        <w:ind w:left="431" w:hanging="431"/>
      </w:pPr>
      <w:r>
        <w:rPr>
          <w:rFonts w:ascii="Calibri" w:cs="Calibri" w:eastAsia="Calibri" w:hAnsi="Calibri"/>
          <w:color w:val="17251F"/>
          <w:sz w:val="20"/>
          <w:szCs w:val="20"/>
        </w:rPr>
        <w:t xml:space="preserve">2. World Health Organization. International Health Regulations (2005). 3rd ed. Geneva: WHO; 2016. Available from: https://www.who.int/publications/i/item/9789241580496</w:t>
      </w:r>
    </w:p>
    <w:p>
      <w:pPr>
        <w:spacing w:after="140" w:line="280"/>
        <w:ind w:left="431" w:hanging="431"/>
      </w:pPr>
      <w:r>
        <w:rPr>
          <w:rFonts w:ascii="Calibri" w:cs="Calibri" w:eastAsia="Calibri" w:hAnsi="Calibri"/>
          <w:color w:val="17251F"/>
          <w:sz w:val="20"/>
          <w:szCs w:val="20"/>
        </w:rPr>
        <w:t xml:space="preserve">3. Yezli S, Yassin YM, Awam AH, Attar AA, Al-Jahdali EA, Alotaibi BM. Umrah: an opportunity for mass gatherings health research. Saudi Med J. 2017;38(8). [URL belum diverifikasi].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2026-07-15T19:30:12.154Z</dcterms:created>
  <dcterms:modified xsi:type="dcterms:W3CDTF">2026-07-15T19:30:12.154Z</dcterms:modified>
</cp:coreProperties>
</file>

<file path=docProps/custom.xml><?xml version="1.0" encoding="utf-8"?>
<Properties xmlns="http://schemas.openxmlformats.org/officeDocument/2006/custom-properties" xmlns:vt="http://schemas.openxmlformats.org/officeDocument/2006/docPropsVTypes"/>
</file>