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4: Komorbid Kronik pada Populasi Lanjut Usia: Aplikasi Klinis Praktis</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Menjelaskan prinsip penyesuaian terapi diabetes melitus pada konteks perubahan pola makan dan aktivitas fisik tinggi selama haji.</w:t>
      </w:r>
    </w:p>
    <w:p>
      <w:pPr>
        <w:pStyle w:val="ListParagraph"/>
        <w:numPr>
          <w:ilvl w:val="0"/>
          <w:numId w:val="2"/>
        </w:numPr>
        <w:spacing w:after="100" w:line="280"/>
      </w:pPr>
      <w:r>
        <w:rPr>
          <w:rFonts w:ascii="Calibri" w:cs="Calibri" w:eastAsia="Calibri" w:hAnsi="Calibri"/>
          <w:color w:val="17251F"/>
          <w:sz w:val="22"/>
          <w:szCs w:val="22"/>
        </w:rPr>
        <w:t xml:space="preserve">Menguraikan kewaspadaan khusus pada pengelolaan hipertensi, penyakit paru, dan ginjal kronik dalam kondisi lingkungan ekstrem.</w:t>
      </w:r>
    </w:p>
    <w:p>
      <w:pPr>
        <w:pStyle w:val="ListParagraph"/>
        <w:numPr>
          <w:ilvl w:val="0"/>
          <w:numId w:val="2"/>
        </w:numPr>
        <w:spacing w:after="100" w:line="280"/>
      </w:pPr>
      <w:r>
        <w:rPr>
          <w:rFonts w:ascii="Calibri" w:cs="Calibri" w:eastAsia="Calibri" w:hAnsi="Calibri"/>
          <w:color w:val="17251F"/>
          <w:sz w:val="22"/>
          <w:szCs w:val="22"/>
        </w:rPr>
        <w:t xml:space="preserve">Menjelaskan pentingnya pendekatan holistik pada jemaah dengan multipel komorbiditas, termasuk aspek fungsional dan kognitif.</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Menghargai kompleksitas pengelolaan pasien geriatri dengan multipel komorbiditas sebagai satu kesatuan, bukan penyakit terpisah.</w:t>
      </w:r>
    </w:p>
    <w:p>
      <w:pPr>
        <w:pStyle w:val="ListParagraph"/>
        <w:numPr>
          <w:ilvl w:val="0"/>
          <w:numId w:val="2"/>
        </w:numPr>
        <w:spacing w:after="100" w:line="280"/>
      </w:pPr>
      <w:r>
        <w:rPr>
          <w:rFonts w:ascii="Calibri" w:cs="Calibri" w:eastAsia="Calibri" w:hAnsi="Calibri"/>
          <w:color w:val="17251F"/>
          <w:sz w:val="22"/>
          <w:szCs w:val="22"/>
        </w:rPr>
        <w:t xml:space="preserve">Menunjukkan kepekaan terhadap faktor non-medis (kognitif, keluarga) yang memengaruhi kepatuhan terapi.</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rencana pengelolaan obat sederhana bagi pasien lanjut usia dengan polifarmasi dalam skenario pra-keberangkatan haji.</w:t>
      </w:r>
    </w:p>
    <w:p>
      <w:pPr>
        <w:pStyle w:val="ListParagraph"/>
        <w:numPr>
          <w:ilvl w:val="0"/>
          <w:numId w:val="2"/>
        </w:numPr>
        <w:spacing w:after="100" w:line="280"/>
      </w:pPr>
      <w:r>
        <w:rPr>
          <w:rFonts w:ascii="Calibri" w:cs="Calibri" w:eastAsia="Calibri" w:hAnsi="Calibri"/>
          <w:color w:val="17251F"/>
          <w:sz w:val="22"/>
          <w:szCs w:val="22"/>
        </w:rPr>
        <w:t xml:space="preserve">Mendemonstrasikan skrining fungsional dan kognitif sederhana dalam simulasi pemeriksaan kelaikan haji.</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Populasi jemaah haji memiliki proporsi lanjut usia yang signifikan, dengan banyak di antaranya membawa satu atau lebih penyakit kronik yang memerlukan pengelolaan berkelanjutan selama masa ibadah. Memahami aplikasi klinis praktis dari pengelolaan komorbid ini penting agar dokter muda mampu memberi nasihat pra-keberangkatan yang akurat, bukan sekadar mengandalkan protokol umum yang tidak mempertimbangkan konteks lingkungan ekstrem dan aktivitas fisik tinggi khas ibadah haji.</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Diabetes Melitus</w:t>
      </w:r>
    </w:p>
    <w:p>
      <w:pPr>
        <w:spacing w:after="160" w:line="300"/>
      </w:pPr>
      <w:r>
        <w:rPr>
          <w:rFonts w:ascii="Calibri" w:cs="Calibri" w:eastAsia="Calibri" w:hAnsi="Calibri"/>
          <w:color w:val="17251F"/>
          <w:sz w:val="22"/>
          <w:szCs w:val="22"/>
        </w:rPr>
        <w:t xml:space="preserve">Perubahan pola makan dan jadwal yang tidak teratur, serta peningkatan aktivitas fisik yang jauh melampaui kebiasaan sehari-hari, menciptakan tantangan tersendiri dalam menjaga kestabilan gula darah. Penyesuaian regimen terapi (oral maupun insulin) perlu mempertimbangkan peningkatan aktivitas fisik yang cenderung menurunkan kebutuhan dosis, namun juga risiko ketidakteraturan asupan makan yang meningkatkan risiko hipoglikemia. Edukasi mengenai pengenalan gejala hipoglikemia dan pembawaan sumber gula cepat saji menjadi bagian penting persiapan pra-keberangkatan.</w:t>
      </w:r>
    </w:p>
    <w:p>
      <w:pPr>
        <w:pStyle w:val="Heading3"/>
        <w:spacing w:after="120" w:before="260"/>
      </w:pPr>
      <w:r>
        <w:rPr>
          <w:rFonts w:ascii="Cambria" w:cs="Cambria" w:eastAsia="Cambria" w:hAnsi="Cambria"/>
          <w:b/>
          <w:bCs/>
          <w:color w:val="123D33"/>
          <w:sz w:val="24"/>
          <w:szCs w:val="24"/>
        </w:rPr>
        <w:t xml:space="preserve">2. Hipertensi dan Penyakit Kardiovaskular</w:t>
      </w:r>
    </w:p>
    <w:p>
      <w:pPr>
        <w:spacing w:after="160" w:line="300"/>
      </w:pPr>
      <w:r>
        <w:rPr>
          <w:rFonts w:ascii="Calibri" w:cs="Calibri" w:eastAsia="Calibri" w:hAnsi="Calibri"/>
          <w:color w:val="17251F"/>
          <w:sz w:val="22"/>
          <w:szCs w:val="22"/>
        </w:rPr>
        <w:t xml:space="preserve">Interaksi antara pengobatan antihipertensi dengan kondisi panas ekstrem dapat memengaruhi kemampuan kompensasi vaskular tubuh. Diperlukan pemantauan tekanan darah lebih ketat, kewaspadaan terhadap hipotensi ortostatik akibat dehidrasi, dan kepatuhan konsisten terhadap regimen obat tanpa penghentian mandiri — penghentian mendadak beberapa golongan obat dapat menimbulkan efek rebound berbahaya.</w:t>
      </w:r>
    </w:p>
    <w:p>
      <w:pPr>
        <w:pStyle w:val="Heading3"/>
        <w:spacing w:after="120" w:before="260"/>
      </w:pPr>
      <w:r>
        <w:rPr>
          <w:rFonts w:ascii="Cambria" w:cs="Cambria" w:eastAsia="Cambria" w:hAnsi="Cambria"/>
          <w:b/>
          <w:bCs/>
          <w:color w:val="123D33"/>
          <w:sz w:val="24"/>
          <w:szCs w:val="24"/>
        </w:rPr>
        <w:t xml:space="preserve">3. Penyakit Paru dan Ginjal Kronik</w:t>
      </w:r>
    </w:p>
    <w:p>
      <w:pPr>
        <w:spacing w:after="160" w:line="300"/>
      </w:pPr>
      <w:r>
        <w:rPr>
          <w:rFonts w:ascii="Calibri" w:cs="Calibri" w:eastAsia="Calibri" w:hAnsi="Calibri"/>
          <w:color w:val="17251F"/>
          <w:sz w:val="22"/>
          <w:szCs w:val="22"/>
        </w:rPr>
        <w:t xml:space="preserve">PPOK dan asma memerlukan perhatian karena kualitas udara padat dan berdebu dapat memicu eksaserbasi — pastikan jemaah membawa obat kontrol dan pelega cukup serta memahami teknik inhaler yang benar. Penyakit ginjal kronik menuntut keseimbangan cairan yang cermat: cukup mencegah dehidrasi dan perburukan fungsi ginjal akut, namun tidak berlebihan sehingga membebani jantung.</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Ilustrasi keseimbangan cairan pada PGK</w:t>
            </w:r>
          </w:p>
          <w:p>
            <w:pPr>
              <w:spacing w:after="0" w:line="280"/>
            </w:pPr>
            <w:r>
              <w:rPr>
                <w:rFonts w:ascii="Calibri" w:cs="Calibri" w:eastAsia="Calibri" w:hAnsi="Calibri"/>
                <w:b w:val="false"/>
                <w:bCs w:val="false"/>
                <w:color w:val="17251F"/>
                <w:sz w:val="21"/>
                <w:szCs w:val="21"/>
              </w:rPr>
              <w:t xml:space="preserve">Seorang jemaah dengan PGK stadium 3: cairan terlalu banyak 'untuk berjaga-jaga' berisiko membebani jantung; terlalu sedikit berisiko memperburuk fungsi ginjal. Keseimbangan ini menuntut penilaian klinis cermat, bukan protokol hidrasi umum.</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4. Pendekatan Holistik dan Faktor Penyerta</w:t>
      </w:r>
    </w:p>
    <w:p>
      <w:pPr>
        <w:pStyle w:val="ListParagraph"/>
        <w:numPr>
          <w:ilvl w:val="0"/>
          <w:numId w:val="2"/>
        </w:numPr>
        <w:spacing w:after="100" w:line="280"/>
      </w:pPr>
      <w:r>
        <w:rPr>
          <w:rFonts w:ascii="Calibri" w:cs="Calibri" w:eastAsia="Calibri" w:hAnsi="Calibri"/>
          <w:color w:val="17251F"/>
          <w:sz w:val="22"/>
          <w:szCs w:val="22"/>
        </w:rPr>
        <w:t xml:space="preserve">Kelola multipel komorbiditas sebagai satu kesatuan terintegrasi, bukan penyakit terpisah.</w:t>
      </w:r>
    </w:p>
    <w:p>
      <w:pPr>
        <w:pStyle w:val="ListParagraph"/>
        <w:numPr>
          <w:ilvl w:val="0"/>
          <w:numId w:val="2"/>
        </w:numPr>
        <w:spacing w:after="100" w:line="280"/>
      </w:pPr>
      <w:r>
        <w:rPr>
          <w:rFonts w:ascii="Calibri" w:cs="Calibri" w:eastAsia="Calibri" w:hAnsi="Calibri"/>
          <w:color w:val="17251F"/>
          <w:sz w:val="22"/>
          <w:szCs w:val="22"/>
        </w:rPr>
        <w:t xml:space="preserve">Nilai status fungsional: kemampuan berjalan jarak jauh, keseimbangan di kerumunan, kemandirian aktivitas sehari-hari.</w:t>
      </w:r>
    </w:p>
    <w:p>
      <w:pPr>
        <w:pStyle w:val="ListParagraph"/>
        <w:numPr>
          <w:ilvl w:val="0"/>
          <w:numId w:val="2"/>
        </w:numPr>
        <w:spacing w:after="100" w:line="280"/>
      </w:pPr>
      <w:r>
        <w:rPr>
          <w:rFonts w:ascii="Calibri" w:cs="Calibri" w:eastAsia="Calibri" w:hAnsi="Calibri"/>
          <w:color w:val="17251F"/>
          <w:sz w:val="22"/>
          <w:szCs w:val="22"/>
        </w:rPr>
        <w:t xml:space="preserve">Libatkan keluarga/pendamping dalam diskusi pengelolaan — keputusan sering bersifat kolektif keluarga.</w:t>
      </w:r>
    </w:p>
    <w:p>
      <w:pPr>
        <w:pStyle w:val="ListParagraph"/>
        <w:numPr>
          <w:ilvl w:val="0"/>
          <w:numId w:val="2"/>
        </w:numPr>
        <w:spacing w:after="100" w:line="280"/>
      </w:pPr>
      <w:r>
        <w:rPr>
          <w:rFonts w:ascii="Calibri" w:cs="Calibri" w:eastAsia="Calibri" w:hAnsi="Calibri"/>
          <w:color w:val="17251F"/>
          <w:sz w:val="22"/>
          <w:szCs w:val="22"/>
        </w:rPr>
        <w:t xml:space="preserve">Lakukan skrining gizi sederhana sejak pemeriksaan pra-keberangkatan.</w:t>
      </w:r>
    </w:p>
    <w:p>
      <w:pPr>
        <w:pStyle w:val="ListParagraph"/>
        <w:numPr>
          <w:ilvl w:val="0"/>
          <w:numId w:val="2"/>
        </w:numPr>
        <w:spacing w:after="100" w:line="280"/>
      </w:pPr>
      <w:r>
        <w:rPr>
          <w:rFonts w:ascii="Calibri" w:cs="Calibri" w:eastAsia="Calibri" w:hAnsi="Calibri"/>
          <w:color w:val="17251F"/>
          <w:sz w:val="22"/>
          <w:szCs w:val="22"/>
        </w:rPr>
        <w:t xml:space="preserve">Waspadai gangguan kognitif ringan/demensia yang memengaruhi kepatuhan obat.</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Ketidakpatuhan yang Bukan Kesengajaan</w:t>
            </w:r>
          </w:p>
          <w:p>
            <w:pPr>
              <w:spacing w:after="0" w:line="280"/>
            </w:pPr>
            <w:r>
              <w:rPr>
                <w:rFonts w:ascii="Calibri" w:cs="Calibri" w:eastAsia="Calibri" w:hAnsi="Calibri"/>
                <w:b w:val="false"/>
                <w:bCs w:val="false"/>
                <w:color w:val="17251F"/>
                <w:sz w:val="21"/>
                <w:szCs w:val="21"/>
              </w:rPr>
              <w:t xml:space="preserve">Seorang jemaah berusia 74 tahun datang dengan diabetes, hipertensi, dan riwayat gangguan ingatan ringan yang belum pernah didiagnosis formal. Dokter muda yang hanya berfokus pada gula darah dan tekanan darahnya mungkin melewatkan fakta bahwa ia sering lupa minum obat tepat waktu justru karena gangguan ingatannya, bukan karena ketidakpatuhan yang disengaja.</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Bagaimana pendekatan holistik mengubah rencana pengelolaan pasien ini dibandingkan pendekatan yang hanya berfokus pada angka gula darah dan tekanan darah?</w:t>
      </w:r>
    </w:p>
    <w:p>
      <w:pPr>
        <w:pStyle w:val="ListParagraph"/>
        <w:numPr>
          <w:ilvl w:val="0"/>
          <w:numId w:val="2"/>
        </w:numPr>
        <w:spacing w:after="100" w:line="280"/>
      </w:pPr>
      <w:r>
        <w:rPr>
          <w:rFonts w:ascii="Calibri" w:cs="Calibri" w:eastAsia="Calibri" w:hAnsi="Calibri"/>
          <w:color w:val="17251F"/>
          <w:sz w:val="22"/>
          <w:szCs w:val="22"/>
        </w:rPr>
        <w:t xml:space="preserve">Peran apa yang dapat diberikan kepada anak yang mendampingi pasien dalam rencana pengelolaan ini?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Buku D2 — Kedokteran Haji untuk Dokter Muda, Bab 4. [Sumber internal ekosistem].</w:t>
      </w:r>
    </w:p>
    <w:p>
      <w:pPr>
        <w:spacing w:after="140" w:line="280"/>
        <w:ind w:left="431" w:hanging="431"/>
      </w:pPr>
      <w:r>
        <w:rPr>
          <w:rFonts w:ascii="Calibri" w:cs="Calibri" w:eastAsia="Calibri" w:hAnsi="Calibri"/>
          <w:color w:val="17251F"/>
          <w:sz w:val="20"/>
          <w:szCs w:val="20"/>
        </w:rPr>
        <w:t xml:space="preserve">2. Samarkandi O, Alamri F, Alsaleh G, Al Abdullatif L, Alhazmi J, Basnawi M, et al. Exploring the prevalence of chronic diseases and health status among international Hajj pilgrims. PLoS One. 2025;20(4):e0317555. Available from: https://doi.org/10.1371/journal.pone.0317555</w:t>
      </w:r>
    </w:p>
    <w:p>
      <w:pPr>
        <w:spacing w:after="140" w:line="280"/>
        <w:ind w:left="431" w:hanging="431"/>
      </w:pPr>
      <w:r>
        <w:rPr>
          <w:rFonts w:ascii="Calibri" w:cs="Calibri" w:eastAsia="Calibri" w:hAnsi="Calibri"/>
          <w:color w:val="17251F"/>
          <w:sz w:val="20"/>
          <w:szCs w:val="20"/>
        </w:rPr>
        <w:t xml:space="preserve">3. PERKENI. Pedoman Pengelolaan dan Pencegahan Diabetes Melitus Tipe 2 Dewasa di Indonesia. Jakarta: PERKENI; [URL belum diverifikasi].</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2026-07-15T19:30:12.063Z</dcterms:created>
  <dcterms:modified xsi:type="dcterms:W3CDTF">2026-07-15T19:30:12.063Z</dcterms:modified>
</cp:coreProperties>
</file>

<file path=docProps/custom.xml><?xml version="1.0" encoding="utf-8"?>
<Properties xmlns="http://schemas.openxmlformats.org/officeDocument/2006/custom-properties" xmlns:vt="http://schemas.openxmlformats.org/officeDocument/2006/docPropsVTypes"/>
</file>