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MK-D02 — Kedokteran Haji untuk Dokter Muda (Buku Utama Joint Degree)</w:t>
      </w:r>
    </w:p>
    <w:p>
      <w:pPr>
        <w:spacing w:after="300"/>
      </w:pPr>
      <w:r>
        <w:rPr>
          <w:rFonts w:ascii="Cambria" w:cs="Cambria" w:eastAsia="Cambria" w:hAnsi="Cambria"/>
          <w:b/>
          <w:bCs/>
          <w:color w:val="123D33"/>
          <w:sz w:val="40"/>
          <w:szCs w:val="40"/>
        </w:rPr>
        <w:t xml:space="preserve">Modul 2: Keterkaitan Kedokteran Haji dengan Rotasi Klinis (IGD, Interna, Kardiologi)</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Menjelaskan filosofi integrasi pembelajaran Kedokteran Haji dengan stase klinis, bukan sebagai beban terpisah.</w:t>
      </w:r>
    </w:p>
    <w:p>
      <w:pPr>
        <w:pStyle w:val="ListParagraph"/>
        <w:numPr>
          <w:ilvl w:val="0"/>
          <w:numId w:val="2"/>
        </w:numPr>
        <w:spacing w:after="100" w:line="280"/>
      </w:pPr>
      <w:r>
        <w:rPr>
          <w:rFonts w:ascii="Calibri" w:cs="Calibri" w:eastAsia="Calibri" w:hAnsi="Calibri"/>
          <w:color w:val="17251F"/>
          <w:sz w:val="22"/>
          <w:szCs w:val="22"/>
        </w:rPr>
        <w:t xml:space="preserve">Menguraikan titik temu spesifik antara kompetensi stase IGD, Interna, dan Kardiologi dengan kegawatan dan komorbid terkait haji.</w:t>
      </w:r>
    </w:p>
    <w:p>
      <w:pPr>
        <w:pStyle w:val="ListParagraph"/>
        <w:numPr>
          <w:ilvl w:val="0"/>
          <w:numId w:val="2"/>
        </w:numPr>
        <w:spacing w:after="100" w:line="280"/>
      </w:pPr>
      <w:r>
        <w:rPr>
          <w:rFonts w:ascii="Calibri" w:cs="Calibri" w:eastAsia="Calibri" w:hAnsi="Calibri"/>
          <w:color w:val="17251F"/>
          <w:sz w:val="22"/>
          <w:szCs w:val="22"/>
        </w:rPr>
        <w:t xml:space="preserve">Mengidentifikasi peluang integrasi pada stase-stase lain di luar tiga stase utama (Anak, Jiwa, Bedah, Anestesi).</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Membangun kebiasaan berpikir reflektif yang menghubungkan setiap kasus klinis rutin dengan konteks Kedokteran Haji yang relevan.</w:t>
      </w:r>
    </w:p>
    <w:p>
      <w:pPr>
        <w:pStyle w:val="ListParagraph"/>
        <w:numPr>
          <w:ilvl w:val="0"/>
          <w:numId w:val="2"/>
        </w:numPr>
        <w:spacing w:after="100" w:line="280"/>
      </w:pPr>
      <w:r>
        <w:rPr>
          <w:rFonts w:ascii="Calibri" w:cs="Calibri" w:eastAsia="Calibri" w:hAnsi="Calibri"/>
          <w:color w:val="17251F"/>
          <w:sz w:val="22"/>
          <w:szCs w:val="22"/>
        </w:rPr>
        <w:t xml:space="preserve">Menghargai peran dosen pembimbing akademik dan sesama coass non-Joint Degree sebagai mitra diskusi integrasi.</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Mendemonstrasikan kemampuan mengajukan pertanyaan reflektif kepada dokter pembimbing yang menghubungkan kasus stase dengan konteks haji.</w:t>
      </w:r>
    </w:p>
    <w:p>
      <w:pPr>
        <w:pStyle w:val="ListParagraph"/>
        <w:numPr>
          <w:ilvl w:val="0"/>
          <w:numId w:val="2"/>
        </w:numPr>
        <w:spacing w:after="100" w:line="280"/>
      </w:pPr>
      <w:r>
        <w:rPr>
          <w:rFonts w:ascii="Calibri" w:cs="Calibri" w:eastAsia="Calibri" w:hAnsi="Calibri"/>
          <w:color w:val="17251F"/>
          <w:sz w:val="22"/>
          <w:szCs w:val="22"/>
        </w:rPr>
        <w:t xml:space="preserve">Menyusun catatan portofolio sederhana yang mendokumentasikan satu contoh integrasi pada tiap stase yang dijalani.</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Salah satu risiko terbesar dalam program Joint Degree adalah persepsi bahwa Kedokteran Haji merupakan beban belajar tambahan yang bersaing dengan waktu rotasi klinis. Modul ini menawarkan sudut pandang sebaliknya: setiap stase inti coass sesungguhnya menjadi ruang latihan langsung bagi kompetensi Kedokteran Haji, sehingga keduanya saling memperkuat, bukan saling membebani.</w:t>
      </w:r>
    </w:p>
    <w:p>
      <w:pPr>
        <w:spacing w:after="160" w:line="300"/>
      </w:pPr>
      <w:r>
        <w:rPr>
          <w:rFonts w:ascii="Calibri" w:cs="Calibri" w:eastAsia="Calibri" w:hAnsi="Calibri"/>
          <w:color w:val="17251F"/>
          <w:sz w:val="22"/>
          <w:szCs w:val="22"/>
        </w:rPr>
        <w:t xml:space="preserve">Dengan memahami titik temu konkret antara stase IGD, Interna, dan Kardiologi dengan konteks kegawatan panas, komorbid kronik lanjut usia, dan risiko kardiovaskular jemaah, dokter muda dapat menjalani rotasi klinis dengan lapisan pemahaman tambahan yang memperkaya, bukan memperlambat, proses pembelajaran klinisnya sehari-hari.</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Filosofi Integrasi: Bukan Beban Terpisah</w:t>
      </w:r>
    </w:p>
    <w:p>
      <w:pPr>
        <w:spacing w:after="160" w:line="300"/>
      </w:pPr>
      <w:r>
        <w:rPr>
          <w:rFonts w:ascii="Calibri" w:cs="Calibri" w:eastAsia="Calibri" w:hAnsi="Calibri"/>
          <w:color w:val="17251F"/>
          <w:sz w:val="22"/>
          <w:szCs w:val="22"/>
        </w:rPr>
        <w:t xml:space="preserve">Prinsip utama perancangan Jalur D adalah integrasi: setiap topik Kedokteran Haji dipetakan agar dapat dipelajari sambil menjalani stase klinis yang relevan, sehingga pemahaman terhadap kondisi terkait haji memperkaya kompetensi klinis umum yang sedang dibangun, bukan menambah beban yang bersaing dengan waktu rotasi.</w:t>
      </w:r>
    </w:p>
    <w:p>
      <w:pPr>
        <w:pStyle w:val="Heading3"/>
        <w:spacing w:after="120" w:before="260"/>
      </w:pPr>
      <w:r>
        <w:rPr>
          <w:rFonts w:ascii="Cambria" w:cs="Cambria" w:eastAsia="Cambria" w:hAnsi="Cambria"/>
          <w:b/>
          <w:bCs/>
          <w:color w:val="123D33"/>
          <w:sz w:val="24"/>
          <w:szCs w:val="24"/>
        </w:rPr>
        <w:t xml:space="preserve">2. Stase Kegawatdaruratan (IGD)</w:t>
      </w:r>
    </w:p>
    <w:p>
      <w:pPr>
        <w:spacing w:after="160" w:line="300"/>
      </w:pPr>
      <w:r>
        <w:rPr>
          <w:rFonts w:ascii="Calibri" w:cs="Calibri" w:eastAsia="Calibri" w:hAnsi="Calibri"/>
          <w:color w:val="17251F"/>
          <w:sz w:val="22"/>
          <w:szCs w:val="22"/>
        </w:rPr>
        <w:t xml:space="preserve">Stase IGD adalah titik integrasi paling langsung. Kompetensi penanganan kegawatan panas—kram panas, heat exhaustion, hingga heat stroke—yang telah diperkenalkan secara fisiologis pada Modul Inti (D1) menemukan aplikasi praktisnya di sini, melalui algoritma triase, resusitasi cairan, dan stabilisasi pasien gawat darurat secara umum. Stase ini juga relevan untuk mendiskusikan prinsip triase pada skenario Mass Casualty Incident, risiko nyata pada kerumunan padat.</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Keterkaitan dengan rotasi klinis</w:t>
            </w:r>
          </w:p>
          <w:p>
            <w:pPr>
              <w:spacing w:after="0" w:line="280"/>
            </w:pPr>
            <w:r>
              <w:rPr>
                <w:rFonts w:ascii="Calibri" w:cs="Calibri" w:eastAsia="Calibri" w:hAnsi="Calibri"/>
                <w:b w:val="false"/>
                <w:bCs w:val="false"/>
                <w:color w:val="17251F"/>
                <w:sz w:val="21"/>
                <w:szCs w:val="21"/>
              </w:rPr>
              <w:t xml:space="preserve">Pada stase IGD, coass disarankan aktif mendiskusikan kasus kegawatan panas atau dehidrasi berat yang ditemui—sekalipun bukan konteks haji—sebagai latihan menerapkan kerangka fisiologi dan tata laksana Modul Inti pada kasus nyata sehari-hari.</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3. Stase Ilmu Penyakit Dalam (Interna)</w:t>
      </w:r>
    </w:p>
    <w:p>
      <w:pPr>
        <w:spacing w:after="160" w:line="300"/>
      </w:pPr>
      <w:r>
        <w:rPr>
          <w:rFonts w:ascii="Calibri" w:cs="Calibri" w:eastAsia="Calibri" w:hAnsi="Calibri"/>
          <w:color w:val="17251F"/>
          <w:sz w:val="22"/>
          <w:szCs w:val="22"/>
        </w:rPr>
        <w:t xml:space="preserve">Stase Interna memberi kesempatan mendalami pengelolaan penyakit kronik jangka panjang—kompetensi yang sama persis dibutuhkan untuk memahami mayoritas komorbid jemaah lanjut usia, seperti diabetes melitus, hipertensi, penyakit ginjal kronik, dan PPOK. Diskusi kasus pasien lanjut usia dengan multipel komorbiditas di bangsal Interna dapat diperkaya dengan pertanyaan reflektif: bagaimana pengelolaan pasien ini akan berbeda apabila ia calon jemaah haji yang berangkat beberapa bulan lagi?</w:t>
      </w:r>
    </w:p>
    <w:p>
      <w:pPr>
        <w:pStyle w:val="Heading3"/>
        <w:spacing w:after="120" w:before="260"/>
      </w:pPr>
      <w:r>
        <w:rPr>
          <w:rFonts w:ascii="Cambria" w:cs="Cambria" w:eastAsia="Cambria" w:hAnsi="Cambria"/>
          <w:b/>
          <w:bCs/>
          <w:color w:val="123D33"/>
          <w:sz w:val="24"/>
          <w:szCs w:val="24"/>
        </w:rPr>
        <w:t xml:space="preserve">4. Stase Kardiologi</w:t>
      </w:r>
    </w:p>
    <w:p>
      <w:pPr>
        <w:spacing w:after="160" w:line="300"/>
      </w:pPr>
      <w:r>
        <w:rPr>
          <w:rFonts w:ascii="Calibri" w:cs="Calibri" w:eastAsia="Calibri" w:hAnsi="Calibri"/>
          <w:color w:val="17251F"/>
          <w:sz w:val="22"/>
          <w:szCs w:val="22"/>
        </w:rPr>
        <w:t xml:space="preserve">Stase ini berfokus pada organ yang paling sering menjadi penyebab kematian jemaah haji. Beban kerja kardiovaskular meningkat signifikan dalam kondisi panas ekstrem dan aktivitas fisik tinggi; pemahaman fisiologi kardiovaskular dan patofisiologi penyakit jantung koroner maupun gagal jantung relevan langsung dengan tingginya proporsi kematian kardiovaskular pada populasi jemaah.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Stase</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Titik Integrasi Utama</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Latihan Reflektif yang Disarankan</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IGD</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Triase &amp; resusitasi kegawatan panas, MCI</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Diskusikan kasus dehidrasi/panas dengan pembimbing</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Interna</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Pengelolaan komorbid kronik lanjut usia</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Tanyakan: bagaimana bila pasien ini calon jemaah?</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Kardiologi</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Stratifikasi risiko KV pra-keberangkatan</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Diskusikan kapan pasien perlu evaluasi laik haji</w:t>
            </w:r>
          </w:p>
        </w:tc>
      </w:tr>
    </w:tbl>
    <w:p>
      <w:pPr>
        <w:spacing w:after="2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5. Memperluas Integrasi ke Stase Lain</w:t>
      </w:r>
    </w:p>
    <w:p>
      <w:pPr>
        <w:spacing w:after="160" w:line="300"/>
      </w:pPr>
      <w:r>
        <w:rPr>
          <w:rFonts w:ascii="Calibri" w:cs="Calibri" w:eastAsia="Calibri" w:hAnsi="Calibri"/>
          <w:color w:val="17251F"/>
          <w:sz w:val="22"/>
          <w:szCs w:val="22"/>
        </w:rPr>
        <w:t xml:space="preserve">Selain tiga stase utama, mahasiswa dianjurkan mengeksplorasi keterkaitan dengan stase Ilmu Kesehatan Anak (pendamping jemaah membawa anggota keluarga muda), Ilmu Kesehatan Jiwa (kesehatan mental jemaah), Bedah (cedera muskuloskeletal akibat terjatuh/terinjak dalam kerumunan), dan Anestesi (manajemen jalan napas pada gangguan kesadaran akibat heat stroke berat).</w:t>
      </w:r>
    </w:p>
    <w:p>
      <w:pPr>
        <w:spacing w:after="160" w:line="300"/>
      </w:pPr>
      <w:r>
        <w:rPr>
          <w:rFonts w:ascii="Calibri" w:cs="Calibri" w:eastAsia="Calibri" w:hAnsi="Calibri"/>
          <w:color w:val="17251F"/>
          <w:sz w:val="22"/>
          <w:szCs w:val="22"/>
        </w:rPr>
        <w:t xml:space="preserve">Portofolio pembelajaran terintegrasi—dibahas lebih rinci pada buku D3—menjadi alat bantu praktis untuk mendokumentasikan proses integrasi ini secara sistematis sepanjang masa coass.</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Menemukan Titik Temu di Stase Bedah</w:t>
            </w:r>
          </w:p>
          <w:p>
            <w:pPr>
              <w:spacing w:after="80" w:line="280"/>
            </w:pPr>
            <w:r>
              <w:rPr>
                <w:rFonts w:ascii="Calibri" w:cs="Calibri" w:eastAsia="Calibri" w:hAnsi="Calibri"/>
                <w:b w:val="false"/>
                <w:bCs w:val="false"/>
                <w:color w:val="17251F"/>
                <w:sz w:val="21"/>
                <w:szCs w:val="21"/>
              </w:rPr>
              <w:t xml:space="preserve">Seorang mahasiswa yang sedang menjalani stase Bedah menangani pasien dengan fraktur akibat kecelakaan lalu lintas. Ia menyadari bahwa mekanisme cedera dan prinsip stabilisasi awal yang dipelajarinya—melumpuhkan area cedera sebelum transportasi, menilai kemungkinan cedera penyerta—pada dasarnya sama dengan yang akan diperlukan bila menangani jemaah yang terinjak dalam desak-desakan di area tawaf.</w:t>
            </w:r>
          </w:p>
          <w:p>
            <w:pPr>
              <w:spacing w:after="0" w:line="280"/>
            </w:pPr>
            <w:r>
              <w:rPr>
                <w:rFonts w:ascii="Calibri" w:cs="Calibri" w:eastAsia="Calibri" w:hAnsi="Calibri"/>
                <w:b w:val="false"/>
                <w:bCs w:val="false"/>
                <w:color w:val="17251F"/>
                <w:sz w:val="21"/>
                <w:szCs w:val="21"/>
              </w:rPr>
              <w:t xml:space="preserve">Kesadaran untuk terus mencari titik temu semacam ini, pada stase apa pun yang sedang dijalani, adalah keterampilan metakognitif inti yang dibangun sepanjang Jalur D.</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Stase klinis apa lagi (selain lima yang disebutkan dalam modul) yang menurut Anda memiliki potensi integrasi dengan Kedokteran Haji, dan mengapa?</w:t>
      </w:r>
    </w:p>
    <w:p>
      <w:pPr>
        <w:pStyle w:val="ListParagraph"/>
        <w:numPr>
          <w:ilvl w:val="0"/>
          <w:numId w:val="2"/>
        </w:numPr>
        <w:spacing w:after="100" w:line="280"/>
      </w:pPr>
      <w:r>
        <w:rPr>
          <w:rFonts w:ascii="Calibri" w:cs="Calibri" w:eastAsia="Calibri" w:hAnsi="Calibri"/>
          <w:color w:val="17251F"/>
          <w:sz w:val="22"/>
          <w:szCs w:val="22"/>
        </w:rPr>
        <w:t xml:space="preserve">Bagaimana Anda akan mendokumentasikan momen integrasi semacam ini secara sistematis dalam portofolio pembelajaran Anda?</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Buku D2 — Kedokteran Haji untuk Dokter Muda, Bab 2. [Sumber internal ekosistem].</w:t>
      </w:r>
    </w:p>
    <w:p>
      <w:pPr>
        <w:spacing w:after="140" w:line="280"/>
        <w:ind w:left="431" w:hanging="431"/>
      </w:pPr>
      <w:r>
        <w:rPr>
          <w:rFonts w:ascii="Calibri" w:cs="Calibri" w:eastAsia="Calibri" w:hAnsi="Calibri"/>
          <w:color w:val="17251F"/>
          <w:sz w:val="20"/>
          <w:szCs w:val="20"/>
        </w:rPr>
        <w:t xml:space="preserve">2. Ahmed QA, Arabi YM, Memish ZA. Health risks at the Hajj. Lancet. 2006;367(9515):1008-1015. Available from: https://doi.org/10.1016/S0140-6736(06)68429-8</w:t>
      </w:r>
    </w:p>
    <w:p>
      <w:pPr>
        <w:spacing w:after="140" w:line="280"/>
        <w:ind w:left="431" w:hanging="431"/>
      </w:pPr>
      <w:r>
        <w:rPr>
          <w:rFonts w:ascii="Calibri" w:cs="Calibri" w:eastAsia="Calibri" w:hAnsi="Calibri"/>
          <w:color w:val="17251F"/>
          <w:sz w:val="20"/>
          <w:szCs w:val="20"/>
        </w:rPr>
        <w:t xml:space="preserve">3. Konsil Kedokteran Indonesia. Standar Kompetensi Dokter Indonesia. Jakarta: KKI; [URL belum diverifikasi].</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2026-07-15T19:30:11.890Z</dcterms:created>
  <dcterms:modified xsi:type="dcterms:W3CDTF">2026-07-15T19:30:11.890Z</dcterms:modified>
</cp:coreProperties>
</file>

<file path=docProps/custom.xml><?xml version="1.0" encoding="utf-8"?>
<Properties xmlns="http://schemas.openxmlformats.org/officeDocument/2006/custom-properties" xmlns:vt="http://schemas.openxmlformats.org/officeDocument/2006/docPropsVTypes"/>
</file>